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2411"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383B5513"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113"/>
        <w:gridCol w:w="1274"/>
        <w:gridCol w:w="1199"/>
        <w:gridCol w:w="341"/>
        <w:gridCol w:w="1227"/>
      </w:tblGrid>
      <w:tr w:rsidR="00CC1EC5" w:rsidRPr="006403CB" w14:paraId="4DFF49B7" w14:textId="77777777" w:rsidTr="001E647B">
        <w:tc>
          <w:tcPr>
            <w:tcW w:w="3142" w:type="dxa"/>
            <w:shd w:val="clear" w:color="auto" w:fill="D0CECE" w:themeFill="background2" w:themeFillShade="E6"/>
          </w:tcPr>
          <w:p w14:paraId="573B9CE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154" w:type="dxa"/>
            <w:gridSpan w:val="5"/>
          </w:tcPr>
          <w:p w14:paraId="24FE61EB" w14:textId="07EDFC24" w:rsidR="00CC1EC5" w:rsidRPr="006403CB" w:rsidRDefault="001E647B" w:rsidP="00E30CBA">
            <w:pPr>
              <w:rPr>
                <w:rFonts w:asciiTheme="majorHAnsi" w:hAnsiTheme="majorHAnsi" w:cs="Arial"/>
                <w:color w:val="002060"/>
                <w:sz w:val="20"/>
                <w:szCs w:val="20"/>
                <w:lang w:val="en-GB"/>
              </w:rPr>
            </w:pPr>
            <w:proofErr w:type="spellStart"/>
            <w:r w:rsidRPr="002B4FFC">
              <w:rPr>
                <w:rFonts w:ascii="Calibri" w:hAnsi="Calibri" w:cs="Arial"/>
                <w:color w:val="002060"/>
                <w:sz w:val="20"/>
                <w:szCs w:val="20"/>
                <w:lang w:val="el-GR"/>
              </w:rPr>
              <w:t>School</w:t>
            </w:r>
            <w:proofErr w:type="spellEnd"/>
            <w:r w:rsidRPr="002B4FFC">
              <w:rPr>
                <w:rFonts w:ascii="Calibri" w:hAnsi="Calibri" w:cs="Arial"/>
                <w:color w:val="002060"/>
                <w:sz w:val="20"/>
                <w:szCs w:val="20"/>
                <w:lang w:val="el-GR"/>
              </w:rPr>
              <w:t xml:space="preserve"> of </w:t>
            </w:r>
            <w:proofErr w:type="spellStart"/>
            <w:r w:rsidRPr="002B4FFC">
              <w:rPr>
                <w:rFonts w:ascii="Calibri" w:hAnsi="Calibri" w:cs="Arial"/>
                <w:color w:val="002060"/>
                <w:sz w:val="20"/>
                <w:szCs w:val="20"/>
                <w:lang w:val="el-GR"/>
              </w:rPr>
              <w:t>Humanities</w:t>
            </w:r>
            <w:proofErr w:type="spellEnd"/>
          </w:p>
        </w:tc>
      </w:tr>
      <w:tr w:rsidR="00CC1EC5" w:rsidRPr="006403CB" w14:paraId="09E3267E" w14:textId="77777777" w:rsidTr="001E647B">
        <w:tc>
          <w:tcPr>
            <w:tcW w:w="3142" w:type="dxa"/>
            <w:shd w:val="clear" w:color="auto" w:fill="D0CECE" w:themeFill="background2" w:themeFillShade="E6"/>
          </w:tcPr>
          <w:p w14:paraId="55BBC70C"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154" w:type="dxa"/>
            <w:gridSpan w:val="5"/>
          </w:tcPr>
          <w:p w14:paraId="29BA1FF6" w14:textId="77777777" w:rsidR="001E647B" w:rsidRDefault="001E647B" w:rsidP="001E647B">
            <w:pPr>
              <w:rPr>
                <w:rFonts w:ascii="Calibri" w:hAnsi="Calibri" w:cs="Arial"/>
                <w:color w:val="002060"/>
                <w:sz w:val="20"/>
                <w:szCs w:val="20"/>
              </w:rPr>
            </w:pPr>
            <w:r w:rsidRPr="002B4FFC">
              <w:rPr>
                <w:rFonts w:ascii="Calibri" w:hAnsi="Calibri" w:cs="Arial"/>
                <w:color w:val="002060"/>
                <w:sz w:val="20"/>
                <w:szCs w:val="20"/>
              </w:rPr>
              <w:t xml:space="preserve">Department of </w:t>
            </w:r>
            <w:proofErr w:type="spellStart"/>
            <w:r w:rsidRPr="002B4FFC">
              <w:rPr>
                <w:rFonts w:ascii="Calibri" w:hAnsi="Calibri" w:cs="Arial"/>
                <w:color w:val="002060"/>
                <w:sz w:val="20"/>
                <w:szCs w:val="20"/>
              </w:rPr>
              <w:t>Prechool</w:t>
            </w:r>
            <w:proofErr w:type="spellEnd"/>
            <w:r w:rsidRPr="002B4FFC">
              <w:rPr>
                <w:rFonts w:ascii="Calibri" w:hAnsi="Calibri" w:cs="Arial"/>
                <w:color w:val="002060"/>
                <w:sz w:val="20"/>
                <w:szCs w:val="20"/>
              </w:rPr>
              <w:t xml:space="preserve"> Education Sciences and Educational Design</w:t>
            </w:r>
            <w:r>
              <w:rPr>
                <w:rFonts w:ascii="Calibri" w:hAnsi="Calibri" w:cs="Arial"/>
                <w:color w:val="002060"/>
                <w:sz w:val="20"/>
                <w:szCs w:val="20"/>
              </w:rPr>
              <w:t>.</w:t>
            </w:r>
          </w:p>
          <w:p w14:paraId="1FD001D6" w14:textId="6468E453" w:rsidR="00CC1EC5" w:rsidRPr="006403CB" w:rsidRDefault="001E647B" w:rsidP="001E647B">
            <w:pPr>
              <w:rPr>
                <w:rFonts w:asciiTheme="majorHAnsi" w:hAnsiTheme="majorHAnsi" w:cs="Arial"/>
                <w:color w:val="002060"/>
                <w:sz w:val="20"/>
                <w:szCs w:val="20"/>
                <w:lang w:val="en-GB"/>
              </w:rPr>
            </w:pPr>
            <w:r w:rsidRPr="002B4FFC">
              <w:rPr>
                <w:rFonts w:ascii="Calibri" w:hAnsi="Calibri" w:cs="Arial"/>
                <w:color w:val="002060"/>
                <w:sz w:val="20"/>
                <w:szCs w:val="20"/>
              </w:rPr>
              <w:t>Postgraduate Studies</w:t>
            </w:r>
            <w:r>
              <w:rPr>
                <w:rFonts w:ascii="Calibri" w:hAnsi="Calibri" w:cs="Arial"/>
                <w:color w:val="002060"/>
                <w:sz w:val="20"/>
                <w:szCs w:val="20"/>
              </w:rPr>
              <w:t xml:space="preserve"> </w:t>
            </w:r>
            <w:proofErr w:type="spellStart"/>
            <w:r w:rsidRPr="002B4FFC">
              <w:rPr>
                <w:rFonts w:ascii="Calibri" w:hAnsi="Calibri" w:cs="Arial"/>
                <w:color w:val="002060"/>
                <w:sz w:val="20"/>
                <w:szCs w:val="20"/>
              </w:rPr>
              <w:t>Programme</w:t>
            </w:r>
            <w:proofErr w:type="spellEnd"/>
            <w:r w:rsidRPr="002B4FFC">
              <w:rPr>
                <w:rFonts w:ascii="Calibri" w:hAnsi="Calibri" w:cs="Arial"/>
                <w:color w:val="002060"/>
                <w:sz w:val="20"/>
                <w:szCs w:val="20"/>
              </w:rPr>
              <w:t xml:space="preserve"> in</w:t>
            </w:r>
            <w:r>
              <w:rPr>
                <w:rFonts w:ascii="Calibri" w:hAnsi="Calibri" w:cs="Arial"/>
                <w:color w:val="002060"/>
                <w:sz w:val="20"/>
                <w:szCs w:val="20"/>
              </w:rPr>
              <w:t xml:space="preserve"> Children’s Book and Educational Material.</w:t>
            </w:r>
          </w:p>
        </w:tc>
      </w:tr>
      <w:tr w:rsidR="00CC1EC5" w:rsidRPr="006403CB" w14:paraId="0A7E8241" w14:textId="77777777" w:rsidTr="001E647B">
        <w:tc>
          <w:tcPr>
            <w:tcW w:w="3142" w:type="dxa"/>
            <w:shd w:val="clear" w:color="auto" w:fill="D0CECE" w:themeFill="background2" w:themeFillShade="E6"/>
          </w:tcPr>
          <w:p w14:paraId="6A4868A4"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154" w:type="dxa"/>
            <w:gridSpan w:val="5"/>
          </w:tcPr>
          <w:p w14:paraId="76E3569B" w14:textId="2611624A" w:rsidR="00CC1EC5" w:rsidRPr="006403CB" w:rsidRDefault="001E647B"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Postgraduate Studies </w:t>
            </w:r>
            <w:r w:rsidRPr="00B860D3">
              <w:rPr>
                <w:rFonts w:asciiTheme="majorHAnsi" w:hAnsiTheme="majorHAnsi" w:cs="Arial"/>
                <w:color w:val="002060"/>
                <w:sz w:val="20"/>
                <w:szCs w:val="20"/>
                <w:lang w:val="en-GB"/>
              </w:rPr>
              <w:t>(Level 7)</w:t>
            </w:r>
          </w:p>
        </w:tc>
      </w:tr>
      <w:tr w:rsidR="00CC1EC5" w:rsidRPr="006403CB" w14:paraId="6B8A8BA3" w14:textId="77777777" w:rsidTr="001E647B">
        <w:tc>
          <w:tcPr>
            <w:tcW w:w="3142" w:type="dxa"/>
            <w:shd w:val="clear" w:color="auto" w:fill="D0CECE" w:themeFill="background2" w:themeFillShade="E6"/>
          </w:tcPr>
          <w:p w14:paraId="3257BA8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13" w:type="dxa"/>
          </w:tcPr>
          <w:p w14:paraId="6A9B8862" w14:textId="5837FD11" w:rsidR="00CC1EC5" w:rsidRPr="001E647B" w:rsidRDefault="001E647B" w:rsidP="00E30CBA">
            <w:pPr>
              <w:rPr>
                <w:rFonts w:asciiTheme="majorHAnsi" w:hAnsiTheme="majorHAnsi" w:cs="Arial"/>
                <w:b/>
                <w:sz w:val="20"/>
                <w:szCs w:val="20"/>
                <w:lang w:val="el-GR"/>
              </w:rPr>
            </w:pPr>
            <w:r>
              <w:rPr>
                <w:rFonts w:asciiTheme="majorHAnsi" w:hAnsiTheme="majorHAnsi" w:cs="Arial"/>
                <w:color w:val="002060"/>
                <w:sz w:val="20"/>
                <w:szCs w:val="20"/>
                <w:lang w:val="el-GR"/>
              </w:rPr>
              <w:t>ΠΥ3</w:t>
            </w:r>
          </w:p>
        </w:tc>
        <w:tc>
          <w:tcPr>
            <w:tcW w:w="2473" w:type="dxa"/>
            <w:gridSpan w:val="2"/>
            <w:shd w:val="clear" w:color="auto" w:fill="D0CECE" w:themeFill="background2" w:themeFillShade="E6"/>
          </w:tcPr>
          <w:p w14:paraId="6BCC126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68" w:type="dxa"/>
            <w:gridSpan w:val="2"/>
          </w:tcPr>
          <w:p w14:paraId="0EEB14D3" w14:textId="5338681B" w:rsidR="00CC1EC5" w:rsidRPr="006403CB" w:rsidRDefault="001E647B" w:rsidP="00E30CBA">
            <w:pPr>
              <w:rPr>
                <w:rFonts w:asciiTheme="majorHAnsi" w:hAnsiTheme="majorHAnsi" w:cs="Arial"/>
                <w:b/>
                <w:sz w:val="20"/>
                <w:szCs w:val="20"/>
                <w:lang w:val="en-GB"/>
              </w:rPr>
            </w:pPr>
            <w:r w:rsidRPr="00727A2C">
              <w:rPr>
                <w:rFonts w:asciiTheme="majorHAnsi" w:hAnsiTheme="majorHAnsi" w:cs="Arial"/>
                <w:color w:val="002060"/>
                <w:sz w:val="20"/>
                <w:szCs w:val="20"/>
                <w:lang w:val="el-GR"/>
              </w:rPr>
              <w:t>Β’</w:t>
            </w:r>
          </w:p>
        </w:tc>
      </w:tr>
      <w:tr w:rsidR="00CC1EC5" w:rsidRPr="006403CB" w14:paraId="30A8D59A" w14:textId="77777777" w:rsidTr="001E647B">
        <w:trPr>
          <w:trHeight w:val="375"/>
        </w:trPr>
        <w:tc>
          <w:tcPr>
            <w:tcW w:w="3142" w:type="dxa"/>
            <w:shd w:val="clear" w:color="auto" w:fill="D0CECE" w:themeFill="background2" w:themeFillShade="E6"/>
            <w:vAlign w:val="center"/>
          </w:tcPr>
          <w:p w14:paraId="3D1BD3C4"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154" w:type="dxa"/>
            <w:gridSpan w:val="5"/>
            <w:vAlign w:val="center"/>
          </w:tcPr>
          <w:p w14:paraId="6F97E13D" w14:textId="4A5DFB0B" w:rsidR="00CC1EC5" w:rsidRPr="001E647B" w:rsidRDefault="001E647B" w:rsidP="00E30CBA">
            <w:pPr>
              <w:rPr>
                <w:rFonts w:asciiTheme="majorHAnsi" w:hAnsiTheme="majorHAnsi" w:cs="Arial"/>
                <w:sz w:val="20"/>
                <w:szCs w:val="20"/>
              </w:rPr>
            </w:pPr>
            <w:r w:rsidRPr="001E647B">
              <w:rPr>
                <w:rFonts w:asciiTheme="majorHAnsi" w:hAnsiTheme="majorHAnsi" w:cs="Arial"/>
                <w:color w:val="002060"/>
                <w:sz w:val="20"/>
                <w:szCs w:val="20"/>
              </w:rPr>
              <w:t xml:space="preserve">Educational material </w:t>
            </w:r>
            <w:r w:rsidR="000C4460">
              <w:rPr>
                <w:rFonts w:asciiTheme="majorHAnsi" w:hAnsiTheme="majorHAnsi" w:cs="Arial"/>
                <w:color w:val="002060"/>
                <w:sz w:val="20"/>
                <w:szCs w:val="20"/>
              </w:rPr>
              <w:t>in</w:t>
            </w:r>
            <w:r w:rsidRPr="001E647B">
              <w:rPr>
                <w:rFonts w:asciiTheme="majorHAnsi" w:hAnsiTheme="majorHAnsi" w:cs="Arial"/>
                <w:color w:val="002060"/>
                <w:sz w:val="20"/>
                <w:szCs w:val="20"/>
              </w:rPr>
              <w:t xml:space="preserve"> mathematics</w:t>
            </w:r>
          </w:p>
        </w:tc>
      </w:tr>
      <w:tr w:rsidR="00CC1EC5" w:rsidRPr="006403CB" w14:paraId="54F54219" w14:textId="77777777" w:rsidTr="001E647B">
        <w:trPr>
          <w:trHeight w:val="196"/>
        </w:trPr>
        <w:tc>
          <w:tcPr>
            <w:tcW w:w="5529" w:type="dxa"/>
            <w:gridSpan w:val="3"/>
            <w:shd w:val="clear" w:color="auto" w:fill="D0CECE" w:themeFill="background2" w:themeFillShade="E6"/>
            <w:vAlign w:val="center"/>
          </w:tcPr>
          <w:p w14:paraId="581732E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40" w:type="dxa"/>
            <w:gridSpan w:val="2"/>
            <w:shd w:val="clear" w:color="auto" w:fill="D0CECE" w:themeFill="background2" w:themeFillShade="E6"/>
            <w:vAlign w:val="center"/>
          </w:tcPr>
          <w:p w14:paraId="0D08F6CE"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27" w:type="dxa"/>
            <w:shd w:val="clear" w:color="auto" w:fill="D0CECE" w:themeFill="background2" w:themeFillShade="E6"/>
            <w:vAlign w:val="center"/>
          </w:tcPr>
          <w:p w14:paraId="2BF0EE5D"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47E26380" w14:textId="77777777" w:rsidTr="001E647B">
        <w:trPr>
          <w:trHeight w:val="194"/>
        </w:trPr>
        <w:tc>
          <w:tcPr>
            <w:tcW w:w="5529" w:type="dxa"/>
            <w:gridSpan w:val="3"/>
          </w:tcPr>
          <w:p w14:paraId="5FF58A87" w14:textId="1949DCE7" w:rsidR="00CC1EC5" w:rsidRPr="006403CB" w:rsidRDefault="001E647B" w:rsidP="00E30CBA">
            <w:pPr>
              <w:jc w:val="right"/>
              <w:rPr>
                <w:rFonts w:asciiTheme="majorHAnsi" w:hAnsiTheme="majorHAnsi" w:cs="Arial"/>
                <w:color w:val="002060"/>
                <w:sz w:val="20"/>
                <w:szCs w:val="20"/>
                <w:lang w:val="en-GB"/>
              </w:rPr>
            </w:pPr>
            <w:r>
              <w:rPr>
                <w:rFonts w:asciiTheme="majorHAnsi" w:hAnsiTheme="majorHAnsi" w:cs="Arial"/>
                <w:color w:val="002060"/>
                <w:sz w:val="20"/>
                <w:szCs w:val="20"/>
                <w:lang w:val="en-GB"/>
              </w:rPr>
              <w:t>Lectures</w:t>
            </w:r>
          </w:p>
        </w:tc>
        <w:tc>
          <w:tcPr>
            <w:tcW w:w="1540" w:type="dxa"/>
            <w:gridSpan w:val="2"/>
          </w:tcPr>
          <w:p w14:paraId="69D047E3" w14:textId="7839637C" w:rsidR="00CC1EC5" w:rsidRPr="006403CB" w:rsidRDefault="001E647B"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27" w:type="dxa"/>
          </w:tcPr>
          <w:p w14:paraId="7662D06A" w14:textId="25F00C2E" w:rsidR="00CC1EC5" w:rsidRPr="006403CB" w:rsidRDefault="001E647B" w:rsidP="00E30CBA">
            <w:pPr>
              <w:jc w:val="center"/>
              <w:rPr>
                <w:rFonts w:asciiTheme="majorHAnsi" w:hAnsiTheme="majorHAnsi" w:cs="Arial"/>
                <w:color w:val="002060"/>
                <w:sz w:val="20"/>
                <w:szCs w:val="20"/>
                <w:lang w:val="en-GB"/>
              </w:rPr>
            </w:pPr>
            <w:r w:rsidRPr="00CB7D4B">
              <w:rPr>
                <w:rFonts w:asciiTheme="majorHAnsi" w:hAnsiTheme="majorHAnsi" w:cs="Arial"/>
                <w:color w:val="002060"/>
                <w:sz w:val="20"/>
                <w:szCs w:val="20"/>
              </w:rPr>
              <w:t xml:space="preserve">6 </w:t>
            </w:r>
            <w:r>
              <w:rPr>
                <w:rFonts w:asciiTheme="majorHAnsi" w:hAnsiTheme="majorHAnsi" w:cs="Arial"/>
                <w:color w:val="002060"/>
                <w:sz w:val="20"/>
                <w:szCs w:val="20"/>
              </w:rPr>
              <w:t>in total for the whole course</w:t>
            </w:r>
          </w:p>
        </w:tc>
      </w:tr>
      <w:tr w:rsidR="00CC1EC5" w:rsidRPr="006403CB" w14:paraId="32ACC91A" w14:textId="77777777" w:rsidTr="001E647B">
        <w:trPr>
          <w:trHeight w:val="194"/>
        </w:trPr>
        <w:tc>
          <w:tcPr>
            <w:tcW w:w="5529" w:type="dxa"/>
            <w:gridSpan w:val="3"/>
            <w:shd w:val="clear" w:color="auto" w:fill="D0CECE" w:themeFill="background2" w:themeFillShade="E6"/>
          </w:tcPr>
          <w:p w14:paraId="3A65FD21"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40" w:type="dxa"/>
            <w:gridSpan w:val="2"/>
          </w:tcPr>
          <w:p w14:paraId="75ACACCF" w14:textId="77777777" w:rsidR="00CC1EC5" w:rsidRPr="006403CB" w:rsidRDefault="00CC1EC5" w:rsidP="00E30CBA">
            <w:pPr>
              <w:jc w:val="right"/>
              <w:rPr>
                <w:rFonts w:asciiTheme="majorHAnsi" w:hAnsiTheme="majorHAnsi" w:cs="Arial"/>
                <w:color w:val="002060"/>
                <w:sz w:val="20"/>
                <w:szCs w:val="20"/>
                <w:lang w:val="en-GB"/>
              </w:rPr>
            </w:pPr>
          </w:p>
        </w:tc>
        <w:tc>
          <w:tcPr>
            <w:tcW w:w="1227" w:type="dxa"/>
          </w:tcPr>
          <w:p w14:paraId="7C6E6886"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7701C7FE" w14:textId="77777777" w:rsidTr="001E647B">
        <w:trPr>
          <w:trHeight w:val="599"/>
        </w:trPr>
        <w:tc>
          <w:tcPr>
            <w:tcW w:w="3142" w:type="dxa"/>
            <w:shd w:val="clear" w:color="auto" w:fill="D0CECE" w:themeFill="background2" w:themeFillShade="E6"/>
          </w:tcPr>
          <w:p w14:paraId="29ABBDFE"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3CA4810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154" w:type="dxa"/>
            <w:gridSpan w:val="5"/>
          </w:tcPr>
          <w:p w14:paraId="0DF7D061" w14:textId="4D6BBA23" w:rsidR="00CC1EC5" w:rsidRPr="006403CB" w:rsidRDefault="001E647B" w:rsidP="001E647B">
            <w:pPr>
              <w:tabs>
                <w:tab w:val="left" w:pos="1343"/>
              </w:tabs>
              <w:rPr>
                <w:rFonts w:asciiTheme="majorHAnsi" w:hAnsiTheme="majorHAnsi" w:cs="Arial"/>
                <w:color w:val="002060"/>
                <w:sz w:val="20"/>
                <w:szCs w:val="20"/>
                <w:lang w:val="en-GB"/>
              </w:rPr>
            </w:pPr>
            <w:r w:rsidRPr="003B46EE">
              <w:rPr>
                <w:rFonts w:asciiTheme="majorHAnsi" w:hAnsiTheme="majorHAnsi" w:cs="Arial"/>
                <w:color w:val="002060"/>
                <w:sz w:val="20"/>
                <w:szCs w:val="20"/>
                <w:lang w:val="en-GB"/>
              </w:rPr>
              <w:t>Specialised general knowledge, and skills development</w:t>
            </w:r>
          </w:p>
        </w:tc>
      </w:tr>
      <w:tr w:rsidR="00CC1EC5" w:rsidRPr="006403CB" w14:paraId="693B7ABE" w14:textId="77777777" w:rsidTr="001E647B">
        <w:tc>
          <w:tcPr>
            <w:tcW w:w="3142" w:type="dxa"/>
            <w:shd w:val="clear" w:color="auto" w:fill="D0CECE" w:themeFill="background2" w:themeFillShade="E6"/>
          </w:tcPr>
          <w:p w14:paraId="1A62424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6965485" w14:textId="77777777" w:rsidR="00CC1EC5" w:rsidRPr="006403CB" w:rsidRDefault="00CC1EC5" w:rsidP="00E30CBA">
            <w:pPr>
              <w:jc w:val="right"/>
              <w:rPr>
                <w:rFonts w:asciiTheme="majorHAnsi" w:hAnsiTheme="majorHAnsi" w:cs="Arial"/>
                <w:b/>
                <w:sz w:val="20"/>
                <w:szCs w:val="20"/>
                <w:lang w:val="en-GB"/>
              </w:rPr>
            </w:pPr>
          </w:p>
        </w:tc>
        <w:tc>
          <w:tcPr>
            <w:tcW w:w="5154" w:type="dxa"/>
            <w:gridSpan w:val="5"/>
          </w:tcPr>
          <w:p w14:paraId="10355646" w14:textId="5472F911" w:rsidR="00CC1EC5" w:rsidRPr="006403CB" w:rsidRDefault="001E647B" w:rsidP="001E647B">
            <w:pPr>
              <w:rPr>
                <w:rFonts w:asciiTheme="majorHAnsi" w:hAnsiTheme="majorHAnsi" w:cs="Arial"/>
                <w:color w:val="002060"/>
                <w:sz w:val="20"/>
                <w:szCs w:val="20"/>
                <w:lang w:val="en-GB"/>
              </w:rPr>
            </w:pPr>
            <w:r>
              <w:rPr>
                <w:rFonts w:asciiTheme="majorHAnsi" w:hAnsiTheme="majorHAnsi" w:cs="Arial"/>
                <w:color w:val="002060"/>
                <w:sz w:val="20"/>
                <w:szCs w:val="20"/>
              </w:rPr>
              <w:t>Core courses</w:t>
            </w:r>
          </w:p>
        </w:tc>
      </w:tr>
      <w:tr w:rsidR="00CC1EC5" w:rsidRPr="006403CB" w14:paraId="254D262C" w14:textId="77777777" w:rsidTr="001E647B">
        <w:tc>
          <w:tcPr>
            <w:tcW w:w="3142" w:type="dxa"/>
            <w:shd w:val="clear" w:color="auto" w:fill="D0CECE" w:themeFill="background2" w:themeFillShade="E6"/>
          </w:tcPr>
          <w:p w14:paraId="29E0B785"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154" w:type="dxa"/>
            <w:gridSpan w:val="5"/>
          </w:tcPr>
          <w:p w14:paraId="2CED43C2" w14:textId="43B85C65" w:rsidR="00CC1EC5" w:rsidRPr="006403CB" w:rsidRDefault="001E647B" w:rsidP="001E647B">
            <w:pPr>
              <w:tabs>
                <w:tab w:val="left" w:pos="1075"/>
              </w:tabs>
              <w:rPr>
                <w:rFonts w:asciiTheme="majorHAnsi" w:hAnsiTheme="majorHAnsi" w:cs="Arial"/>
                <w:color w:val="002060"/>
                <w:sz w:val="20"/>
                <w:szCs w:val="20"/>
                <w:lang w:val="en-GB"/>
              </w:rPr>
            </w:pPr>
            <w:r>
              <w:rPr>
                <w:rFonts w:asciiTheme="majorHAnsi" w:hAnsiTheme="majorHAnsi" w:cs="Arial"/>
                <w:color w:val="002060"/>
                <w:sz w:val="20"/>
                <w:szCs w:val="20"/>
                <w:lang w:val="en-GB"/>
              </w:rPr>
              <w:t>Greek</w:t>
            </w:r>
            <w:r>
              <w:rPr>
                <w:rFonts w:asciiTheme="majorHAnsi" w:hAnsiTheme="majorHAnsi" w:cs="Arial"/>
                <w:color w:val="002060"/>
                <w:sz w:val="20"/>
                <w:szCs w:val="20"/>
                <w:lang w:val="en-GB"/>
              </w:rPr>
              <w:tab/>
            </w:r>
          </w:p>
        </w:tc>
      </w:tr>
      <w:tr w:rsidR="00CC1EC5" w:rsidRPr="006403CB" w14:paraId="3213F54F" w14:textId="77777777" w:rsidTr="001E647B">
        <w:tc>
          <w:tcPr>
            <w:tcW w:w="3142" w:type="dxa"/>
            <w:shd w:val="clear" w:color="auto" w:fill="D0CECE" w:themeFill="background2" w:themeFillShade="E6"/>
          </w:tcPr>
          <w:p w14:paraId="1BBE1E68"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154" w:type="dxa"/>
            <w:gridSpan w:val="5"/>
          </w:tcPr>
          <w:p w14:paraId="67A14D00" w14:textId="5CE36617" w:rsidR="00CC1EC5" w:rsidRPr="006403CB" w:rsidRDefault="001E647B"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CC1EC5" w:rsidRPr="006403CB" w14:paraId="159D6F13" w14:textId="77777777" w:rsidTr="001E647B">
        <w:tc>
          <w:tcPr>
            <w:tcW w:w="3142" w:type="dxa"/>
            <w:shd w:val="clear" w:color="auto" w:fill="D0CECE" w:themeFill="background2" w:themeFillShade="E6"/>
          </w:tcPr>
          <w:p w14:paraId="42B6984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154" w:type="dxa"/>
            <w:gridSpan w:val="5"/>
          </w:tcPr>
          <w:p w14:paraId="71FD1862" w14:textId="220C9FDF" w:rsidR="00CC1EC5" w:rsidRPr="00393B1D" w:rsidRDefault="00393B1D" w:rsidP="001E647B">
            <w:pPr>
              <w:spacing w:after="200" w:line="276" w:lineRule="auto"/>
              <w:rPr>
                <w:rFonts w:asciiTheme="majorHAnsi" w:eastAsia="Calibri" w:hAnsiTheme="majorHAnsi" w:cs="Arial"/>
                <w:color w:val="002060"/>
                <w:sz w:val="22"/>
                <w:szCs w:val="22"/>
                <w:lang w:val="en-GB"/>
              </w:rPr>
            </w:pPr>
            <w:hyperlink r:id="rId5" w:history="1">
              <w:r w:rsidRPr="00393B1D">
                <w:rPr>
                  <w:rStyle w:val="-"/>
                  <w:sz w:val="22"/>
                  <w:szCs w:val="22"/>
                </w:rPr>
                <w:t>https://pms-pvpy.aegean.gr/en/educational-material-orientation/</w:t>
              </w:r>
            </w:hyperlink>
            <w:r w:rsidRPr="00393B1D">
              <w:rPr>
                <w:sz w:val="22"/>
                <w:szCs w:val="22"/>
                <w:lang w:val="en-GB"/>
              </w:rPr>
              <w:t xml:space="preserve"> </w:t>
            </w:r>
          </w:p>
        </w:tc>
      </w:tr>
    </w:tbl>
    <w:p w14:paraId="53BAEEF6"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320D964B" w14:textId="77777777" w:rsidTr="00E30CBA">
        <w:tc>
          <w:tcPr>
            <w:tcW w:w="8472" w:type="dxa"/>
            <w:gridSpan w:val="2"/>
            <w:tcBorders>
              <w:bottom w:val="nil"/>
            </w:tcBorders>
            <w:shd w:val="clear" w:color="auto" w:fill="D0CECE" w:themeFill="background2" w:themeFillShade="E6"/>
          </w:tcPr>
          <w:p w14:paraId="456E430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763ECE60" w14:textId="77777777" w:rsidTr="00E30CBA">
        <w:tc>
          <w:tcPr>
            <w:tcW w:w="8472" w:type="dxa"/>
            <w:gridSpan w:val="2"/>
            <w:tcBorders>
              <w:top w:val="nil"/>
            </w:tcBorders>
            <w:shd w:val="clear" w:color="auto" w:fill="D0CECE" w:themeFill="background2" w:themeFillShade="E6"/>
          </w:tcPr>
          <w:p w14:paraId="4E4B8AAB"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4313B0A4"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656C5A58"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08D2C8D9"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196FEF5F"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1195FFD" w14:textId="77777777" w:rsidTr="00E30CBA">
        <w:tc>
          <w:tcPr>
            <w:tcW w:w="8472" w:type="dxa"/>
            <w:gridSpan w:val="2"/>
          </w:tcPr>
          <w:p w14:paraId="628021EC" w14:textId="77777777" w:rsidR="006A5903" w:rsidRPr="001E647B" w:rsidRDefault="006A5903" w:rsidP="006A5903">
            <w:pPr>
              <w:widowControl w:val="0"/>
              <w:autoSpaceDE w:val="0"/>
              <w:autoSpaceDN w:val="0"/>
              <w:adjustRightInd w:val="0"/>
              <w:rPr>
                <w:rFonts w:ascii="Calibri" w:eastAsia="Calibri" w:hAnsi="Calibri"/>
                <w:b/>
                <w:color w:val="002060"/>
              </w:rPr>
            </w:pPr>
          </w:p>
          <w:p w14:paraId="444445A8" w14:textId="77777777" w:rsidR="001E647B" w:rsidRDefault="001E647B" w:rsidP="001E647B">
            <w:pPr>
              <w:widowControl w:val="0"/>
              <w:autoSpaceDE w:val="0"/>
              <w:autoSpaceDN w:val="0"/>
              <w:adjustRightInd w:val="0"/>
              <w:rPr>
                <w:rFonts w:ascii="Calibri" w:eastAsia="Calibri" w:hAnsi="Calibri"/>
                <w:color w:val="002060"/>
                <w:sz w:val="20"/>
              </w:rPr>
            </w:pPr>
            <w:r w:rsidRPr="007712D5">
              <w:rPr>
                <w:rFonts w:ascii="Calibri" w:eastAsia="Calibri" w:hAnsi="Calibri"/>
                <w:color w:val="002060"/>
                <w:sz w:val="20"/>
              </w:rPr>
              <w:t>The students are expected to:</w:t>
            </w:r>
          </w:p>
          <w:p w14:paraId="524553B5" w14:textId="77777777" w:rsidR="000C4460" w:rsidRDefault="000C4460" w:rsidP="001E647B">
            <w:pPr>
              <w:widowControl w:val="0"/>
              <w:autoSpaceDE w:val="0"/>
              <w:autoSpaceDN w:val="0"/>
              <w:adjustRightInd w:val="0"/>
              <w:rPr>
                <w:rFonts w:ascii="Calibri" w:eastAsia="Calibri" w:hAnsi="Calibri"/>
                <w:color w:val="002060"/>
                <w:sz w:val="20"/>
              </w:rPr>
            </w:pPr>
          </w:p>
          <w:p w14:paraId="6B7AAAF4" w14:textId="77777777" w:rsidR="000C4460" w:rsidRPr="000C4460" w:rsidRDefault="000C4460" w:rsidP="000C4460">
            <w:pPr>
              <w:widowControl w:val="0"/>
              <w:autoSpaceDE w:val="0"/>
              <w:autoSpaceDN w:val="0"/>
              <w:adjustRightInd w:val="0"/>
              <w:rPr>
                <w:rFonts w:ascii="Calibri" w:eastAsia="Calibri" w:hAnsi="Calibri"/>
                <w:color w:val="002060"/>
                <w:sz w:val="20"/>
              </w:rPr>
            </w:pPr>
            <w:r w:rsidRPr="000C4460">
              <w:rPr>
                <w:rFonts w:ascii="Calibri" w:eastAsia="Calibri" w:hAnsi="Calibri"/>
                <w:color w:val="002060"/>
                <w:sz w:val="20"/>
              </w:rPr>
              <w:t>The students are expected to:</w:t>
            </w:r>
          </w:p>
          <w:p w14:paraId="5BFD3CE3" w14:textId="77777777" w:rsidR="000C4460" w:rsidRPr="000C4460" w:rsidRDefault="000C4460" w:rsidP="000C4460">
            <w:pPr>
              <w:widowControl w:val="0"/>
              <w:autoSpaceDE w:val="0"/>
              <w:autoSpaceDN w:val="0"/>
              <w:adjustRightInd w:val="0"/>
              <w:rPr>
                <w:rFonts w:ascii="Calibri" w:eastAsia="Calibri" w:hAnsi="Calibri"/>
                <w:color w:val="002060"/>
                <w:sz w:val="20"/>
              </w:rPr>
            </w:pPr>
          </w:p>
          <w:p w14:paraId="1D15C02F" w14:textId="66BC8077" w:rsidR="000C4460" w:rsidRPr="000C4460" w:rsidRDefault="000C4460" w:rsidP="000C4460">
            <w:pPr>
              <w:pStyle w:val="a3"/>
              <w:widowControl w:val="0"/>
              <w:numPr>
                <w:ilvl w:val="0"/>
                <w:numId w:val="3"/>
              </w:numPr>
              <w:autoSpaceDE w:val="0"/>
              <w:autoSpaceDN w:val="0"/>
              <w:adjustRightInd w:val="0"/>
              <w:ind w:left="449"/>
              <w:rPr>
                <w:rFonts w:ascii="Calibri" w:eastAsia="Calibri" w:hAnsi="Calibri"/>
                <w:color w:val="002060"/>
                <w:sz w:val="20"/>
              </w:rPr>
            </w:pPr>
            <w:r w:rsidRPr="000C4460">
              <w:rPr>
                <w:rFonts w:ascii="Calibri" w:eastAsia="Calibri" w:hAnsi="Calibri"/>
                <w:color w:val="002060"/>
                <w:sz w:val="20"/>
              </w:rPr>
              <w:t xml:space="preserve">know materials and means for teaching and learning </w:t>
            </w:r>
            <w:r>
              <w:rPr>
                <w:rFonts w:ascii="Calibri" w:eastAsia="Calibri" w:hAnsi="Calibri"/>
                <w:color w:val="002060"/>
                <w:sz w:val="20"/>
              </w:rPr>
              <w:t>mathematics</w:t>
            </w:r>
          </w:p>
          <w:p w14:paraId="667A9E3E" w14:textId="3F8E2BD0" w:rsidR="000C4460" w:rsidRPr="000C4460" w:rsidRDefault="000C4460" w:rsidP="000C4460">
            <w:pPr>
              <w:pStyle w:val="a3"/>
              <w:widowControl w:val="0"/>
              <w:numPr>
                <w:ilvl w:val="0"/>
                <w:numId w:val="3"/>
              </w:numPr>
              <w:autoSpaceDE w:val="0"/>
              <w:autoSpaceDN w:val="0"/>
              <w:adjustRightInd w:val="0"/>
              <w:ind w:left="449"/>
              <w:rPr>
                <w:rFonts w:ascii="Calibri" w:eastAsia="Calibri" w:hAnsi="Calibri"/>
                <w:color w:val="002060"/>
                <w:sz w:val="20"/>
              </w:rPr>
            </w:pPr>
            <w:r w:rsidRPr="000C4460">
              <w:rPr>
                <w:rFonts w:ascii="Calibri" w:eastAsia="Calibri" w:hAnsi="Calibri"/>
                <w:color w:val="002060"/>
                <w:sz w:val="20"/>
              </w:rPr>
              <w:t>develop the ability to select educational materials for teaching and learning</w:t>
            </w:r>
            <w:r w:rsidR="00872123" w:rsidRPr="000C4460">
              <w:rPr>
                <w:rFonts w:ascii="Calibri" w:eastAsia="Calibri" w:hAnsi="Calibri"/>
                <w:color w:val="002060"/>
                <w:sz w:val="20"/>
              </w:rPr>
              <w:t xml:space="preserve"> mathematics</w:t>
            </w:r>
          </w:p>
          <w:p w14:paraId="0915A231" w14:textId="20358F96" w:rsidR="000C4460" w:rsidRPr="000C4460" w:rsidRDefault="000C4460" w:rsidP="000C4460">
            <w:pPr>
              <w:pStyle w:val="a3"/>
              <w:widowControl w:val="0"/>
              <w:numPr>
                <w:ilvl w:val="0"/>
                <w:numId w:val="3"/>
              </w:numPr>
              <w:autoSpaceDE w:val="0"/>
              <w:autoSpaceDN w:val="0"/>
              <w:adjustRightInd w:val="0"/>
              <w:ind w:left="449"/>
              <w:rPr>
                <w:rFonts w:ascii="Calibri" w:eastAsia="Calibri" w:hAnsi="Calibri"/>
                <w:color w:val="002060"/>
                <w:sz w:val="20"/>
              </w:rPr>
            </w:pPr>
            <w:r w:rsidRPr="000C4460">
              <w:rPr>
                <w:rFonts w:ascii="Calibri" w:eastAsia="Calibri" w:hAnsi="Calibri"/>
                <w:color w:val="002060"/>
                <w:sz w:val="20"/>
              </w:rPr>
              <w:t>develop the ability to evaluate educational materials for teaching and learning</w:t>
            </w:r>
            <w:r w:rsidR="00872123" w:rsidRPr="000C4460">
              <w:rPr>
                <w:rFonts w:ascii="Calibri" w:eastAsia="Calibri" w:hAnsi="Calibri"/>
                <w:color w:val="002060"/>
                <w:sz w:val="20"/>
              </w:rPr>
              <w:t xml:space="preserve"> mathematics</w:t>
            </w:r>
          </w:p>
          <w:p w14:paraId="1DFBFA55" w14:textId="3F4DE73D" w:rsidR="000C4460" w:rsidRPr="000C4460" w:rsidRDefault="000C4460" w:rsidP="000C4460">
            <w:pPr>
              <w:pStyle w:val="a3"/>
              <w:widowControl w:val="0"/>
              <w:numPr>
                <w:ilvl w:val="0"/>
                <w:numId w:val="3"/>
              </w:numPr>
              <w:autoSpaceDE w:val="0"/>
              <w:autoSpaceDN w:val="0"/>
              <w:adjustRightInd w:val="0"/>
              <w:ind w:left="449"/>
              <w:rPr>
                <w:rFonts w:ascii="Calibri" w:eastAsia="Calibri" w:hAnsi="Calibri"/>
                <w:color w:val="002060"/>
                <w:sz w:val="20"/>
              </w:rPr>
            </w:pPr>
            <w:r w:rsidRPr="000C4460">
              <w:rPr>
                <w:rFonts w:ascii="Calibri" w:eastAsia="Calibri" w:hAnsi="Calibri"/>
                <w:color w:val="002060"/>
                <w:sz w:val="20"/>
              </w:rPr>
              <w:t>develop the ability to integrate educational materials in teaching</w:t>
            </w:r>
            <w:r w:rsidR="00872123" w:rsidRPr="000C4460">
              <w:rPr>
                <w:rFonts w:ascii="Calibri" w:eastAsia="Calibri" w:hAnsi="Calibri"/>
                <w:color w:val="002060"/>
                <w:sz w:val="20"/>
              </w:rPr>
              <w:t xml:space="preserve"> mathematics</w:t>
            </w:r>
          </w:p>
          <w:p w14:paraId="66BF621F" w14:textId="6602EA8B" w:rsidR="000C4460" w:rsidRPr="000C4460" w:rsidRDefault="000C4460" w:rsidP="000C4460">
            <w:pPr>
              <w:pStyle w:val="a3"/>
              <w:widowControl w:val="0"/>
              <w:numPr>
                <w:ilvl w:val="0"/>
                <w:numId w:val="3"/>
              </w:numPr>
              <w:autoSpaceDE w:val="0"/>
              <w:autoSpaceDN w:val="0"/>
              <w:adjustRightInd w:val="0"/>
              <w:ind w:left="449"/>
              <w:rPr>
                <w:rFonts w:ascii="Calibri" w:eastAsia="Calibri" w:hAnsi="Calibri"/>
                <w:color w:val="002060"/>
                <w:sz w:val="20"/>
              </w:rPr>
            </w:pPr>
            <w:r w:rsidRPr="000C4460">
              <w:rPr>
                <w:rFonts w:ascii="Calibri" w:eastAsia="Calibri" w:hAnsi="Calibri"/>
                <w:color w:val="002060"/>
                <w:sz w:val="20"/>
              </w:rPr>
              <w:t>develop capacity to access and utilize educational research</w:t>
            </w:r>
          </w:p>
          <w:p w14:paraId="1D23CA6C" w14:textId="56847DCF" w:rsidR="00CC1EC5" w:rsidRPr="00872123" w:rsidRDefault="000C4460" w:rsidP="00872123">
            <w:pPr>
              <w:pStyle w:val="a3"/>
              <w:widowControl w:val="0"/>
              <w:numPr>
                <w:ilvl w:val="0"/>
                <w:numId w:val="3"/>
              </w:numPr>
              <w:autoSpaceDE w:val="0"/>
              <w:autoSpaceDN w:val="0"/>
              <w:adjustRightInd w:val="0"/>
              <w:ind w:left="449"/>
              <w:rPr>
                <w:rFonts w:ascii="Calibri" w:eastAsia="Calibri" w:hAnsi="Calibri"/>
                <w:color w:val="002060"/>
                <w:sz w:val="20"/>
              </w:rPr>
            </w:pPr>
            <w:r w:rsidRPr="000C4460">
              <w:rPr>
                <w:rFonts w:ascii="Calibri" w:eastAsia="Calibri" w:hAnsi="Calibri"/>
                <w:color w:val="002060"/>
                <w:sz w:val="20"/>
              </w:rPr>
              <w:t>design and develop educational materials for teaching and learning</w:t>
            </w:r>
            <w:r w:rsidR="00872123">
              <w:rPr>
                <w:rFonts w:ascii="Calibri" w:eastAsia="Calibri" w:hAnsi="Calibri"/>
                <w:color w:val="002060"/>
                <w:sz w:val="20"/>
              </w:rPr>
              <w:t xml:space="preserve"> </w:t>
            </w:r>
            <w:r w:rsidR="00872123" w:rsidRPr="000C4460">
              <w:rPr>
                <w:rFonts w:ascii="Calibri" w:eastAsia="Calibri" w:hAnsi="Calibri"/>
                <w:color w:val="002060"/>
                <w:sz w:val="20"/>
              </w:rPr>
              <w:t>mathematics</w:t>
            </w:r>
          </w:p>
        </w:tc>
      </w:tr>
      <w:tr w:rsidR="00CC1EC5" w:rsidRPr="006403CB" w14:paraId="784E6DF9"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45841CB7"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t xml:space="preserve">General Competences </w:t>
            </w:r>
          </w:p>
        </w:tc>
      </w:tr>
      <w:tr w:rsidR="00CC1EC5" w:rsidRPr="006403CB" w14:paraId="20C4A7E3" w14:textId="77777777" w:rsidTr="00E30CBA">
        <w:tc>
          <w:tcPr>
            <w:tcW w:w="8472" w:type="dxa"/>
            <w:gridSpan w:val="2"/>
            <w:tcBorders>
              <w:top w:val="nil"/>
              <w:bottom w:val="nil"/>
            </w:tcBorders>
            <w:shd w:val="clear" w:color="auto" w:fill="D0CECE" w:themeFill="background2" w:themeFillShade="E6"/>
          </w:tcPr>
          <w:p w14:paraId="73DDD86C"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lastRenderedPageBreak/>
              <w:t>Taking into consideration the general competences that the degree-holder must acquire (as these appear in the Diploma Supplement and appear below), at which of the following does the course aim?</w:t>
            </w:r>
          </w:p>
        </w:tc>
      </w:tr>
      <w:tr w:rsidR="00CC1EC5" w:rsidRPr="006403CB" w14:paraId="084E69CD"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336984A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2130F0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60344BE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51506DA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158A806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proofErr w:type="gramStart"/>
            <w:r w:rsidRPr="006403CB">
              <w:rPr>
                <w:rFonts w:asciiTheme="majorHAnsi" w:hAnsiTheme="majorHAnsi" w:cs="Arial"/>
                <w:i/>
                <w:sz w:val="16"/>
                <w:szCs w:val="16"/>
                <w:lang w:val="en-GB"/>
              </w:rPr>
              <w:t>Team work</w:t>
            </w:r>
            <w:proofErr w:type="gramEnd"/>
          </w:p>
          <w:p w14:paraId="7D6B8FE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27C977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20CC78F1"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5F4889E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7CDFEA7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3531C45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14749C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36E5316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11A510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04737DBD"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5DAB7D39"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16EFCB14"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2E9E5E47" w14:textId="77777777" w:rsidTr="00E30CBA">
        <w:tc>
          <w:tcPr>
            <w:tcW w:w="8472" w:type="dxa"/>
            <w:gridSpan w:val="2"/>
            <w:tcBorders>
              <w:bottom w:val="single" w:sz="4" w:space="0" w:color="auto"/>
            </w:tcBorders>
          </w:tcPr>
          <w:p w14:paraId="433DA567" w14:textId="77777777" w:rsidR="006A5903" w:rsidRPr="00872123" w:rsidRDefault="006A5903" w:rsidP="006A5903">
            <w:pPr>
              <w:rPr>
                <w:rFonts w:ascii="Calibri" w:hAnsi="Calibri" w:cs="Arial"/>
                <w:color w:val="002060"/>
                <w:sz w:val="20"/>
                <w:szCs w:val="20"/>
              </w:rPr>
            </w:pPr>
          </w:p>
          <w:p w14:paraId="1E677F93" w14:textId="15598389" w:rsidR="00872123" w:rsidRDefault="00872123" w:rsidP="00872123">
            <w:pPr>
              <w:widowControl w:val="0"/>
              <w:autoSpaceDE w:val="0"/>
              <w:autoSpaceDN w:val="0"/>
              <w:adjustRightInd w:val="0"/>
              <w:rPr>
                <w:rFonts w:ascii="Calibri" w:hAnsi="Calibri" w:cs="Arial"/>
                <w:color w:val="002060"/>
                <w:sz w:val="20"/>
                <w:szCs w:val="20"/>
              </w:rPr>
            </w:pPr>
            <w:r w:rsidRPr="00872123">
              <w:rPr>
                <w:rFonts w:ascii="Calibri" w:hAnsi="Calibri" w:cs="Arial"/>
                <w:color w:val="002060"/>
                <w:sz w:val="20"/>
                <w:szCs w:val="20"/>
              </w:rPr>
              <w:t>The general competences sought to be acquired are:</w:t>
            </w:r>
          </w:p>
          <w:p w14:paraId="77FD6D75" w14:textId="77777777" w:rsidR="00872123" w:rsidRPr="00872123" w:rsidRDefault="00872123" w:rsidP="00872123">
            <w:pPr>
              <w:widowControl w:val="0"/>
              <w:autoSpaceDE w:val="0"/>
              <w:autoSpaceDN w:val="0"/>
              <w:adjustRightInd w:val="0"/>
              <w:rPr>
                <w:rFonts w:ascii="Calibri" w:hAnsi="Calibri" w:cs="Arial"/>
                <w:color w:val="002060"/>
                <w:sz w:val="20"/>
                <w:szCs w:val="20"/>
              </w:rPr>
            </w:pPr>
          </w:p>
          <w:p w14:paraId="48852322" w14:textId="0EF6BDD0"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Search for, analysis and synthesis of data and information, with the use of the necessary technology </w:t>
            </w:r>
          </w:p>
          <w:p w14:paraId="36A19842"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Adapting to new situations </w:t>
            </w:r>
          </w:p>
          <w:p w14:paraId="705AEBB3"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Decision-making </w:t>
            </w:r>
          </w:p>
          <w:p w14:paraId="6B11160E"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Working independently </w:t>
            </w:r>
          </w:p>
          <w:p w14:paraId="098803CF"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proofErr w:type="gramStart"/>
            <w:r w:rsidRPr="00DE613F">
              <w:rPr>
                <w:rFonts w:ascii="Calibri" w:hAnsi="Calibri" w:cs="Arial"/>
                <w:color w:val="002060"/>
                <w:sz w:val="20"/>
                <w:szCs w:val="20"/>
              </w:rPr>
              <w:t>Team work</w:t>
            </w:r>
            <w:proofErr w:type="gramEnd"/>
          </w:p>
          <w:p w14:paraId="4206E541"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Working in an interdisciplinary environment </w:t>
            </w:r>
          </w:p>
          <w:p w14:paraId="1D95CC47" w14:textId="77777777" w:rsidR="00872123"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Production of new research ideas </w:t>
            </w:r>
            <w:r w:rsidRPr="00DE613F">
              <w:rPr>
                <w:rFonts w:ascii="Calibri" w:hAnsi="Calibri" w:cs="Arial"/>
                <w:color w:val="002060"/>
                <w:sz w:val="20"/>
                <w:szCs w:val="20"/>
              </w:rPr>
              <w:tab/>
            </w:r>
          </w:p>
          <w:p w14:paraId="16CA7538"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Project planning and management </w:t>
            </w:r>
          </w:p>
          <w:p w14:paraId="6FFFAC60"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Respect for difference and multiculturalism </w:t>
            </w:r>
          </w:p>
          <w:p w14:paraId="3E84C035"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Respect for the natural environment </w:t>
            </w:r>
          </w:p>
          <w:p w14:paraId="05CE894C"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 xml:space="preserve">Showing social, professional and ethical responsibility and sensitivity to gender issues </w:t>
            </w:r>
          </w:p>
          <w:p w14:paraId="5F75EC7E" w14:textId="77777777" w:rsidR="00872123" w:rsidRPr="00DE613F" w:rsidRDefault="00872123" w:rsidP="00872123">
            <w:pPr>
              <w:pStyle w:val="a3"/>
              <w:widowControl w:val="0"/>
              <w:numPr>
                <w:ilvl w:val="0"/>
                <w:numId w:val="4"/>
              </w:numPr>
              <w:autoSpaceDE w:val="0"/>
              <w:autoSpaceDN w:val="0"/>
              <w:adjustRightInd w:val="0"/>
              <w:rPr>
                <w:rFonts w:ascii="Calibri" w:hAnsi="Calibri" w:cs="Arial"/>
                <w:color w:val="002060"/>
                <w:sz w:val="20"/>
                <w:szCs w:val="20"/>
              </w:rPr>
            </w:pPr>
            <w:r w:rsidRPr="00DE613F">
              <w:rPr>
                <w:rFonts w:ascii="Calibri" w:hAnsi="Calibri" w:cs="Arial"/>
                <w:color w:val="002060"/>
                <w:sz w:val="20"/>
                <w:szCs w:val="20"/>
              </w:rPr>
              <w:t>Production of free, creative and inductive thinking</w:t>
            </w:r>
          </w:p>
          <w:p w14:paraId="42BED92D"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0C9395D9"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545D1DE7" w14:textId="77777777" w:rsidTr="00E30CBA">
        <w:tc>
          <w:tcPr>
            <w:tcW w:w="8472" w:type="dxa"/>
          </w:tcPr>
          <w:p w14:paraId="14E86753" w14:textId="1A17037E" w:rsidR="00C36535" w:rsidRPr="00872123" w:rsidRDefault="000E2B02" w:rsidP="00872123">
            <w:pPr>
              <w:rPr>
                <w:rFonts w:ascii="Calibri" w:eastAsia="Calibri" w:hAnsi="Calibri"/>
                <w:iCs/>
                <w:color w:val="002060"/>
              </w:rPr>
            </w:pPr>
            <w:r w:rsidRPr="000E2B02">
              <w:rPr>
                <w:rFonts w:ascii="Calibri" w:eastAsia="Calibri" w:hAnsi="Calibri"/>
                <w:iCs/>
                <w:color w:val="002060"/>
              </w:rPr>
              <w:t>The purpose of this course is to investigate the role of educational material in the teaching and learning of mathematics, as well as to highlight the need for designing its integration in the educational process. The study of the different types of materials is sought to determine the characteristics of the educational materials as well as the principles of their design/selection, and evaluation. Also, the special characteristics attributed to the role of educational materials are studied and analyzed from the perspective of different learning theories. Through examples of the use of educational materials, the various dimensions related to their inclusion in the teaching and learning process are highlighted and analyzed. From the study of the current teaching and learning approaches, the principles of design, development and integration of educational materials emerge, which form the basis for the design and production of educational materials.</w:t>
            </w:r>
          </w:p>
          <w:p w14:paraId="27E697DF" w14:textId="77777777" w:rsidR="00CC1EC5" w:rsidRPr="000E2B02" w:rsidRDefault="00CC1EC5" w:rsidP="000E2B02">
            <w:pPr>
              <w:rPr>
                <w:rFonts w:asciiTheme="majorHAnsi" w:hAnsiTheme="majorHAnsi" w:cs="Arial"/>
                <w:color w:val="002060"/>
                <w:sz w:val="20"/>
                <w:szCs w:val="20"/>
                <w:lang w:val="en-GB"/>
              </w:rPr>
            </w:pPr>
          </w:p>
        </w:tc>
      </w:tr>
    </w:tbl>
    <w:p w14:paraId="1351033C"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25F5BFE2"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00BFBE43" w14:textId="77777777" w:rsidTr="00F94B6D">
        <w:tc>
          <w:tcPr>
            <w:tcW w:w="3306" w:type="dxa"/>
            <w:shd w:val="clear" w:color="auto" w:fill="D0CECE" w:themeFill="background2" w:themeFillShade="E6"/>
          </w:tcPr>
          <w:p w14:paraId="5FCF059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24162615" w14:textId="259CE555" w:rsidR="00CC1EC5" w:rsidRPr="00D52FA6" w:rsidRDefault="000E2B02" w:rsidP="000E2B02">
            <w:pPr>
              <w:spacing w:after="200" w:line="276" w:lineRule="auto"/>
              <w:rPr>
                <w:rFonts w:ascii="Calibri" w:hAnsi="Calibri" w:cs="Arial"/>
                <w:color w:val="002060"/>
                <w:sz w:val="20"/>
                <w:szCs w:val="20"/>
              </w:rPr>
            </w:pPr>
            <w:r w:rsidRPr="00F94B6D">
              <w:rPr>
                <w:rFonts w:ascii="Calibri" w:hAnsi="Calibri" w:cs="Arial"/>
                <w:color w:val="002060"/>
                <w:sz w:val="20"/>
                <w:szCs w:val="20"/>
              </w:rPr>
              <w:t xml:space="preserve">face-to-face </w:t>
            </w:r>
            <w:r w:rsidR="00D52FA6">
              <w:rPr>
                <w:rFonts w:ascii="Calibri" w:hAnsi="Calibri" w:cs="Arial"/>
                <w:color w:val="002060"/>
                <w:sz w:val="20"/>
                <w:szCs w:val="20"/>
              </w:rPr>
              <w:t xml:space="preserve">or/and </w:t>
            </w:r>
            <w:r w:rsidRPr="00F94B6D">
              <w:rPr>
                <w:rFonts w:ascii="Calibri" w:hAnsi="Calibri" w:cs="Arial"/>
                <w:color w:val="002060"/>
                <w:sz w:val="20"/>
                <w:szCs w:val="20"/>
              </w:rPr>
              <w:t>distance learning</w:t>
            </w:r>
          </w:p>
        </w:tc>
      </w:tr>
      <w:tr w:rsidR="00CC1EC5" w:rsidRPr="006403CB" w14:paraId="0ED67140" w14:textId="77777777" w:rsidTr="00E30CBA">
        <w:tc>
          <w:tcPr>
            <w:tcW w:w="3306" w:type="dxa"/>
            <w:shd w:val="clear" w:color="auto" w:fill="D0CECE" w:themeFill="background2" w:themeFillShade="E6"/>
          </w:tcPr>
          <w:p w14:paraId="56F2C085"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39D0804A" w14:textId="11B3E56B" w:rsidR="00CC1EC5" w:rsidRPr="006403CB" w:rsidRDefault="000E2B02" w:rsidP="00E30CBA">
            <w:pPr>
              <w:rPr>
                <w:rFonts w:asciiTheme="majorHAnsi" w:hAnsiTheme="majorHAnsi" w:cs="Arial"/>
                <w:b/>
                <w:color w:val="002060"/>
                <w:sz w:val="20"/>
                <w:szCs w:val="20"/>
                <w:lang w:val="en-GB"/>
              </w:rPr>
            </w:pPr>
            <w:r w:rsidRPr="00C074D4">
              <w:rPr>
                <w:rFonts w:ascii="Calibri" w:hAnsi="Calibri" w:cs="Arial"/>
                <w:color w:val="002060"/>
                <w:sz w:val="20"/>
                <w:szCs w:val="20"/>
              </w:rPr>
              <w:t>Use of ICT in teaching and communication with students</w:t>
            </w:r>
          </w:p>
        </w:tc>
      </w:tr>
      <w:tr w:rsidR="00CC1EC5" w:rsidRPr="006403CB" w14:paraId="2E60C5C8" w14:textId="77777777" w:rsidTr="00E30CBA">
        <w:tc>
          <w:tcPr>
            <w:tcW w:w="3306" w:type="dxa"/>
            <w:shd w:val="clear" w:color="auto" w:fill="D0CECE" w:themeFill="background2" w:themeFillShade="E6"/>
          </w:tcPr>
          <w:p w14:paraId="53C359F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085F885E"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53FF28A2"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7EC6A850" w14:textId="77777777" w:rsidR="00CC1EC5" w:rsidRPr="006403CB" w:rsidRDefault="00CC1EC5" w:rsidP="00E30CBA">
            <w:pPr>
              <w:jc w:val="both"/>
              <w:rPr>
                <w:rFonts w:asciiTheme="majorHAnsi" w:hAnsiTheme="majorHAnsi" w:cs="Arial"/>
                <w:i/>
                <w:sz w:val="16"/>
                <w:szCs w:val="16"/>
                <w:lang w:val="en-GB"/>
              </w:rPr>
            </w:pPr>
          </w:p>
          <w:p w14:paraId="2634009F"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6225733F" w14:textId="77777777" w:rsidTr="00E30CBA">
              <w:tc>
                <w:tcPr>
                  <w:tcW w:w="2467" w:type="dxa"/>
                  <w:shd w:val="clear" w:color="auto" w:fill="D0CECE" w:themeFill="background2" w:themeFillShade="E6"/>
                  <w:vAlign w:val="center"/>
                </w:tcPr>
                <w:p w14:paraId="34089B78"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49411DEA"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0E28538" w14:textId="77777777" w:rsidTr="00E30CBA">
              <w:tc>
                <w:tcPr>
                  <w:tcW w:w="2467" w:type="dxa"/>
                </w:tcPr>
                <w:p w14:paraId="51C31E8A" w14:textId="6B30A5A6" w:rsidR="00CC1EC5" w:rsidRPr="006403CB" w:rsidRDefault="000E2B02" w:rsidP="000E2B02">
                  <w:pPr>
                    <w:jc w:val="center"/>
                    <w:rPr>
                      <w:rFonts w:asciiTheme="majorHAnsi" w:hAnsiTheme="majorHAnsi"/>
                      <w:iCs/>
                      <w:color w:val="002060"/>
                      <w:sz w:val="22"/>
                      <w:szCs w:val="22"/>
                      <w:lang w:val="en-GB"/>
                    </w:rPr>
                  </w:pPr>
                  <w:proofErr w:type="spellStart"/>
                  <w:r w:rsidRPr="00CC4BF9">
                    <w:rPr>
                      <w:rFonts w:ascii="Calibri" w:hAnsi="Calibri" w:cs="Arial"/>
                      <w:color w:val="002060"/>
                      <w:sz w:val="20"/>
                      <w:szCs w:val="20"/>
                      <w:lang w:val="el-GR"/>
                    </w:rPr>
                    <w:t>Lectures</w:t>
                  </w:r>
                  <w:proofErr w:type="spellEnd"/>
                </w:p>
              </w:tc>
              <w:tc>
                <w:tcPr>
                  <w:tcW w:w="2468" w:type="dxa"/>
                </w:tcPr>
                <w:p w14:paraId="45776821" w14:textId="50BCACE0" w:rsidR="00CC1EC5" w:rsidRPr="006403CB" w:rsidRDefault="000E2B02"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26 h</w:t>
                  </w:r>
                </w:p>
              </w:tc>
            </w:tr>
            <w:tr w:rsidR="00CC1EC5" w:rsidRPr="006403CB" w14:paraId="72B2A733" w14:textId="77777777" w:rsidTr="00E30CBA">
              <w:tc>
                <w:tcPr>
                  <w:tcW w:w="2467" w:type="dxa"/>
                </w:tcPr>
                <w:p w14:paraId="5D1D76E8" w14:textId="23675FDD" w:rsidR="00CC1EC5" w:rsidRPr="006403CB" w:rsidRDefault="000E2B02" w:rsidP="000E2B02">
                  <w:pPr>
                    <w:jc w:val="center"/>
                    <w:rPr>
                      <w:rFonts w:asciiTheme="majorHAnsi" w:hAnsiTheme="majorHAnsi"/>
                      <w:iCs/>
                      <w:color w:val="002060"/>
                      <w:sz w:val="22"/>
                      <w:szCs w:val="22"/>
                      <w:lang w:val="en-GB"/>
                    </w:rPr>
                  </w:pPr>
                  <w:proofErr w:type="spellStart"/>
                  <w:r w:rsidRPr="00CC4BF9">
                    <w:rPr>
                      <w:rFonts w:ascii="Calibri" w:hAnsi="Calibri" w:cs="Arial"/>
                      <w:color w:val="002060"/>
                      <w:sz w:val="20"/>
                      <w:szCs w:val="20"/>
                      <w:lang w:val="el-GR"/>
                    </w:rPr>
                    <w:t>Literature</w:t>
                  </w:r>
                  <w:proofErr w:type="spellEnd"/>
                  <w:r w:rsidRPr="00CC4BF9">
                    <w:rPr>
                      <w:rFonts w:ascii="Calibri" w:hAnsi="Calibri" w:cs="Arial"/>
                      <w:color w:val="002060"/>
                      <w:sz w:val="20"/>
                      <w:szCs w:val="20"/>
                      <w:lang w:val="el-GR"/>
                    </w:rPr>
                    <w:t xml:space="preserve"> </w:t>
                  </w:r>
                  <w:proofErr w:type="spellStart"/>
                  <w:r w:rsidRPr="00CC4BF9">
                    <w:rPr>
                      <w:rFonts w:ascii="Calibri" w:hAnsi="Calibri" w:cs="Arial"/>
                      <w:color w:val="002060"/>
                      <w:sz w:val="20"/>
                      <w:szCs w:val="20"/>
                      <w:lang w:val="el-GR"/>
                    </w:rPr>
                    <w:t>study</w:t>
                  </w:r>
                  <w:proofErr w:type="spellEnd"/>
                  <w:r w:rsidRPr="00CC4BF9">
                    <w:rPr>
                      <w:rFonts w:ascii="Calibri" w:hAnsi="Calibri" w:cs="Arial"/>
                      <w:color w:val="002060"/>
                      <w:sz w:val="20"/>
                      <w:szCs w:val="20"/>
                      <w:lang w:val="el-GR"/>
                    </w:rPr>
                    <w:t xml:space="preserve"> and </w:t>
                  </w:r>
                  <w:proofErr w:type="spellStart"/>
                  <w:r w:rsidRPr="00CC4BF9">
                    <w:rPr>
                      <w:rFonts w:ascii="Calibri" w:hAnsi="Calibri" w:cs="Arial"/>
                      <w:color w:val="002060"/>
                      <w:sz w:val="20"/>
                      <w:szCs w:val="20"/>
                      <w:lang w:val="el-GR"/>
                    </w:rPr>
                    <w:t>analysis</w:t>
                  </w:r>
                  <w:proofErr w:type="spellEnd"/>
                </w:p>
              </w:tc>
              <w:tc>
                <w:tcPr>
                  <w:tcW w:w="2468" w:type="dxa"/>
                </w:tcPr>
                <w:p w14:paraId="4E6779A6" w14:textId="0F0339DA" w:rsidR="00CC1EC5" w:rsidRPr="006403CB" w:rsidRDefault="000E2B02"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60 h</w:t>
                  </w:r>
                </w:p>
              </w:tc>
            </w:tr>
            <w:tr w:rsidR="00CC1EC5" w:rsidRPr="006403CB" w14:paraId="666559D4" w14:textId="77777777" w:rsidTr="00E30CBA">
              <w:tc>
                <w:tcPr>
                  <w:tcW w:w="2467" w:type="dxa"/>
                </w:tcPr>
                <w:p w14:paraId="4AC53DD2" w14:textId="451C6754" w:rsidR="00CC1EC5" w:rsidRPr="006403CB" w:rsidRDefault="000E2B02" w:rsidP="000E2B02">
                  <w:pPr>
                    <w:jc w:val="center"/>
                    <w:rPr>
                      <w:rFonts w:asciiTheme="majorHAnsi" w:hAnsiTheme="majorHAnsi"/>
                      <w:iCs/>
                      <w:color w:val="002060"/>
                      <w:sz w:val="22"/>
                      <w:szCs w:val="22"/>
                      <w:lang w:val="en-GB"/>
                    </w:rPr>
                  </w:pPr>
                  <w:r w:rsidRPr="00CC4BF9">
                    <w:rPr>
                      <w:rFonts w:ascii="Calibri" w:hAnsi="Calibri" w:cs="Arial"/>
                      <w:color w:val="002060"/>
                      <w:sz w:val="20"/>
                      <w:szCs w:val="20"/>
                    </w:rPr>
                    <w:t xml:space="preserve">Elaboration and presentation of a theoretical </w:t>
                  </w:r>
                  <w:r>
                    <w:rPr>
                      <w:rFonts w:ascii="Calibri" w:hAnsi="Calibri" w:cs="Arial"/>
                      <w:color w:val="002060"/>
                      <w:sz w:val="20"/>
                      <w:szCs w:val="20"/>
                    </w:rPr>
                    <w:t>manuscript</w:t>
                  </w:r>
                </w:p>
              </w:tc>
              <w:tc>
                <w:tcPr>
                  <w:tcW w:w="2468" w:type="dxa"/>
                </w:tcPr>
                <w:p w14:paraId="0BE18985" w14:textId="323E5F37" w:rsidR="00CC1EC5" w:rsidRPr="006403CB" w:rsidRDefault="000E2B02"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28 h</w:t>
                  </w:r>
                </w:p>
              </w:tc>
            </w:tr>
            <w:tr w:rsidR="00CC1EC5" w:rsidRPr="006403CB" w14:paraId="1135A27D" w14:textId="77777777" w:rsidTr="00E30CBA">
              <w:tc>
                <w:tcPr>
                  <w:tcW w:w="2467" w:type="dxa"/>
                </w:tcPr>
                <w:p w14:paraId="593401CA" w14:textId="4718B7A9" w:rsidR="00CC1EC5" w:rsidRPr="006403CB" w:rsidRDefault="000E2B02" w:rsidP="000E2B02">
                  <w:pPr>
                    <w:jc w:val="center"/>
                    <w:rPr>
                      <w:rFonts w:asciiTheme="majorHAnsi" w:hAnsiTheme="majorHAnsi"/>
                      <w:iCs/>
                      <w:color w:val="002060"/>
                      <w:sz w:val="22"/>
                      <w:szCs w:val="22"/>
                      <w:lang w:val="en-GB"/>
                    </w:rPr>
                  </w:pPr>
                  <w:r w:rsidRPr="00CC4BF9">
                    <w:rPr>
                      <w:rFonts w:ascii="Calibri" w:hAnsi="Calibri" w:cs="Arial"/>
                      <w:color w:val="002060"/>
                      <w:sz w:val="20"/>
                      <w:szCs w:val="20"/>
                    </w:rPr>
                    <w:t xml:space="preserve">Elaboration and presentation of a </w:t>
                  </w:r>
                  <w:r>
                    <w:rPr>
                      <w:rFonts w:ascii="Calibri" w:hAnsi="Calibri" w:cs="Arial"/>
                      <w:color w:val="002060"/>
                      <w:sz w:val="20"/>
                      <w:szCs w:val="20"/>
                    </w:rPr>
                    <w:t>research</w:t>
                  </w:r>
                  <w:r w:rsidRPr="00CC4BF9">
                    <w:rPr>
                      <w:rFonts w:ascii="Calibri" w:hAnsi="Calibri" w:cs="Arial"/>
                      <w:color w:val="002060"/>
                      <w:sz w:val="20"/>
                      <w:szCs w:val="20"/>
                    </w:rPr>
                    <w:t xml:space="preserve"> </w:t>
                  </w:r>
                  <w:r>
                    <w:rPr>
                      <w:rFonts w:ascii="Calibri" w:hAnsi="Calibri" w:cs="Arial"/>
                      <w:color w:val="002060"/>
                      <w:sz w:val="20"/>
                      <w:szCs w:val="20"/>
                    </w:rPr>
                    <w:t>manuscript</w:t>
                  </w:r>
                </w:p>
              </w:tc>
              <w:tc>
                <w:tcPr>
                  <w:tcW w:w="2468" w:type="dxa"/>
                </w:tcPr>
                <w:p w14:paraId="3B35922D" w14:textId="38628E83" w:rsidR="00CC1EC5" w:rsidRPr="006403CB" w:rsidRDefault="000E2B02"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36 h</w:t>
                  </w:r>
                </w:p>
              </w:tc>
            </w:tr>
            <w:tr w:rsidR="00CC1EC5" w:rsidRPr="006403CB" w14:paraId="5E3E0019" w14:textId="77777777" w:rsidTr="00E30CBA">
              <w:tc>
                <w:tcPr>
                  <w:tcW w:w="2467" w:type="dxa"/>
                </w:tcPr>
                <w:p w14:paraId="3C3C549D" w14:textId="77777777" w:rsidR="00CC1EC5" w:rsidRPr="006403CB" w:rsidRDefault="00CC1EC5" w:rsidP="00E30CBA">
                  <w:pPr>
                    <w:rPr>
                      <w:rFonts w:asciiTheme="majorHAnsi" w:hAnsiTheme="majorHAnsi"/>
                      <w:iCs/>
                      <w:color w:val="002060"/>
                      <w:sz w:val="22"/>
                      <w:szCs w:val="22"/>
                      <w:lang w:val="en-GB"/>
                    </w:rPr>
                  </w:pPr>
                  <w:r w:rsidRPr="006403CB">
                    <w:rPr>
                      <w:rFonts w:asciiTheme="majorHAnsi" w:hAnsiTheme="majorHAnsi"/>
                      <w:iCs/>
                      <w:color w:val="002060"/>
                      <w:sz w:val="22"/>
                      <w:szCs w:val="22"/>
                      <w:lang w:val="en-GB"/>
                    </w:rPr>
                    <w:t xml:space="preserve">Course total </w:t>
                  </w:r>
                </w:p>
              </w:tc>
              <w:tc>
                <w:tcPr>
                  <w:tcW w:w="2468" w:type="dxa"/>
                  <w:vAlign w:val="center"/>
                </w:tcPr>
                <w:p w14:paraId="7186DFA0" w14:textId="4D371B4D" w:rsidR="00CC1EC5" w:rsidRPr="000E2B02" w:rsidRDefault="000E2B02" w:rsidP="00E30CBA">
                  <w:pPr>
                    <w:jc w:val="center"/>
                    <w:rPr>
                      <w:rFonts w:asciiTheme="majorHAnsi" w:hAnsiTheme="majorHAnsi" w:cs="Arial"/>
                      <w:bCs/>
                      <w:iCs/>
                      <w:color w:val="002060"/>
                      <w:sz w:val="20"/>
                      <w:szCs w:val="20"/>
                      <w:lang w:val="en-GB"/>
                    </w:rPr>
                  </w:pPr>
                  <w:r>
                    <w:rPr>
                      <w:rFonts w:asciiTheme="majorHAnsi" w:hAnsiTheme="majorHAnsi" w:cs="Arial"/>
                      <w:bCs/>
                      <w:iCs/>
                      <w:color w:val="002060"/>
                      <w:sz w:val="20"/>
                      <w:szCs w:val="20"/>
                      <w:lang w:val="en-GB"/>
                    </w:rPr>
                    <w:t>150 h</w:t>
                  </w:r>
                </w:p>
              </w:tc>
            </w:tr>
          </w:tbl>
          <w:p w14:paraId="0B96AC68" w14:textId="77777777" w:rsidR="00CC1EC5" w:rsidRPr="006403CB" w:rsidRDefault="00CC1EC5" w:rsidP="00E30CBA">
            <w:pPr>
              <w:rPr>
                <w:rFonts w:asciiTheme="majorHAnsi" w:hAnsiTheme="majorHAnsi" w:cs="Tahoma"/>
                <w:lang w:val="en-GB"/>
              </w:rPr>
            </w:pPr>
          </w:p>
        </w:tc>
      </w:tr>
      <w:tr w:rsidR="00CC1EC5" w:rsidRPr="006403CB" w14:paraId="104F6087" w14:textId="77777777" w:rsidTr="00E30CBA">
        <w:tc>
          <w:tcPr>
            <w:tcW w:w="3306" w:type="dxa"/>
          </w:tcPr>
          <w:p w14:paraId="519065B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2B9C0CEE"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1CA8D750" w14:textId="77777777" w:rsidR="00CC1EC5" w:rsidRPr="006403CB" w:rsidRDefault="00CC1EC5" w:rsidP="00E30CBA">
            <w:pPr>
              <w:jc w:val="both"/>
              <w:rPr>
                <w:rFonts w:asciiTheme="majorHAnsi" w:hAnsiTheme="majorHAnsi" w:cs="Arial"/>
                <w:i/>
                <w:sz w:val="16"/>
                <w:szCs w:val="16"/>
                <w:lang w:val="en-GB"/>
              </w:rPr>
            </w:pPr>
          </w:p>
          <w:p w14:paraId="1458CB2B"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xml:space="preserve">Language of evaluation, methods of evaluation, summative or conclusive, </w:t>
            </w:r>
            <w:proofErr w:type="gramStart"/>
            <w:r w:rsidRPr="006403CB">
              <w:rPr>
                <w:rFonts w:asciiTheme="majorHAnsi" w:hAnsiTheme="majorHAnsi" w:cs="Arial"/>
                <w:i/>
                <w:sz w:val="16"/>
                <w:szCs w:val="16"/>
                <w:lang w:val="en-GB"/>
              </w:rPr>
              <w:t>multiple choice</w:t>
            </w:r>
            <w:proofErr w:type="gramEnd"/>
            <w:r w:rsidRPr="006403CB">
              <w:rPr>
                <w:rFonts w:asciiTheme="majorHAnsi" w:hAnsiTheme="majorHAnsi" w:cs="Arial"/>
                <w:i/>
                <w:sz w:val="16"/>
                <w:szCs w:val="16"/>
                <w:lang w:val="en-GB"/>
              </w:rPr>
              <w:t xml:space="preserve"> questionnaires, short-answer questions, open-ended questions, problem solving, written work, essay/report, oral examination, public presentation, laboratory work, clinical examination of patient, art interpretation, other</w:t>
            </w:r>
          </w:p>
          <w:p w14:paraId="2D76DF74" w14:textId="77777777" w:rsidR="00CC1EC5" w:rsidRPr="006403CB" w:rsidRDefault="00CC1EC5" w:rsidP="00E30CBA">
            <w:pPr>
              <w:jc w:val="both"/>
              <w:rPr>
                <w:rFonts w:asciiTheme="majorHAnsi" w:hAnsiTheme="majorHAnsi" w:cs="Arial"/>
                <w:i/>
                <w:sz w:val="16"/>
                <w:szCs w:val="16"/>
                <w:lang w:val="en-GB"/>
              </w:rPr>
            </w:pPr>
          </w:p>
          <w:p w14:paraId="44672CC6" w14:textId="77777777" w:rsidR="00CC1EC5" w:rsidRPr="006403CB" w:rsidRDefault="00CC1EC5" w:rsidP="00E30CBA">
            <w:pPr>
              <w:jc w:val="both"/>
              <w:rPr>
                <w:rFonts w:asciiTheme="majorHAnsi" w:hAnsiTheme="majorHAnsi" w:cs="Arial"/>
                <w:i/>
                <w:sz w:val="16"/>
                <w:szCs w:val="16"/>
                <w:lang w:val="en-GB"/>
              </w:rPr>
            </w:pPr>
            <w:proofErr w:type="gramStart"/>
            <w:r w:rsidRPr="006403CB">
              <w:rPr>
                <w:rFonts w:asciiTheme="majorHAnsi" w:hAnsiTheme="majorHAnsi" w:cs="Arial"/>
                <w:i/>
                <w:sz w:val="16"/>
                <w:szCs w:val="16"/>
                <w:lang w:val="en-GB"/>
              </w:rPr>
              <w:t>Specifically-defined</w:t>
            </w:r>
            <w:proofErr w:type="gramEnd"/>
            <w:r w:rsidRPr="006403CB">
              <w:rPr>
                <w:rFonts w:asciiTheme="majorHAnsi" w:hAnsiTheme="majorHAnsi" w:cs="Arial"/>
                <w:i/>
                <w:sz w:val="16"/>
                <w:szCs w:val="16"/>
                <w:lang w:val="en-GB"/>
              </w:rPr>
              <w:t xml:space="preserve"> evaluation criteria are given, and if and where they are accessible to students.</w:t>
            </w:r>
          </w:p>
        </w:tc>
        <w:tc>
          <w:tcPr>
            <w:tcW w:w="5166" w:type="dxa"/>
            <w:tcBorders>
              <w:bottom w:val="single" w:sz="4" w:space="0" w:color="auto"/>
            </w:tcBorders>
          </w:tcPr>
          <w:p w14:paraId="452D7448" w14:textId="77777777" w:rsidR="00CC1EC5" w:rsidRPr="006403CB" w:rsidRDefault="00CC1EC5" w:rsidP="00E30CBA">
            <w:pPr>
              <w:rPr>
                <w:rFonts w:asciiTheme="majorHAnsi" w:hAnsiTheme="majorHAnsi" w:cs="Arial"/>
                <w:color w:val="002060"/>
                <w:lang w:val="en-GB"/>
              </w:rPr>
            </w:pPr>
          </w:p>
          <w:p w14:paraId="5D05AAA3" w14:textId="77777777" w:rsidR="000E2B02" w:rsidRPr="00A17F6B" w:rsidRDefault="000E2B02" w:rsidP="000E2B02">
            <w:pPr>
              <w:rPr>
                <w:rFonts w:ascii="Calibri" w:hAnsi="Calibri" w:cs="Arial"/>
                <w:color w:val="002060"/>
                <w:sz w:val="20"/>
                <w:szCs w:val="20"/>
              </w:rPr>
            </w:pPr>
            <w:r w:rsidRPr="00A17F6B">
              <w:rPr>
                <w:rFonts w:ascii="Calibri" w:hAnsi="Calibri" w:cs="Arial"/>
                <w:color w:val="002060"/>
                <w:sz w:val="20"/>
                <w:szCs w:val="20"/>
              </w:rPr>
              <w:t xml:space="preserve">The </w:t>
            </w:r>
            <w:r>
              <w:rPr>
                <w:rFonts w:ascii="Calibri" w:hAnsi="Calibri" w:cs="Arial"/>
                <w:color w:val="002060"/>
                <w:sz w:val="20"/>
                <w:szCs w:val="20"/>
              </w:rPr>
              <w:t>l</w:t>
            </w:r>
            <w:r w:rsidRPr="008F7C41">
              <w:rPr>
                <w:rFonts w:ascii="Calibri" w:hAnsi="Calibri" w:cs="Arial"/>
                <w:color w:val="002060"/>
                <w:sz w:val="20"/>
                <w:szCs w:val="20"/>
              </w:rPr>
              <w:t xml:space="preserve">anguage of evaluation </w:t>
            </w:r>
            <w:r w:rsidRPr="00A17F6B">
              <w:rPr>
                <w:rFonts w:ascii="Calibri" w:hAnsi="Calibri" w:cs="Arial"/>
                <w:color w:val="002060"/>
                <w:sz w:val="20"/>
                <w:szCs w:val="20"/>
              </w:rPr>
              <w:t>is Greek.</w:t>
            </w:r>
          </w:p>
          <w:p w14:paraId="3D701C29" w14:textId="77777777" w:rsidR="000E2B02" w:rsidRPr="00A17F6B" w:rsidRDefault="000E2B02" w:rsidP="000E2B02">
            <w:pPr>
              <w:rPr>
                <w:rFonts w:ascii="Calibri" w:hAnsi="Calibri" w:cs="Arial"/>
                <w:color w:val="002060"/>
                <w:sz w:val="20"/>
                <w:szCs w:val="20"/>
              </w:rPr>
            </w:pPr>
          </w:p>
          <w:p w14:paraId="10F52EC8" w14:textId="77777777" w:rsidR="000E2B02" w:rsidRDefault="000E2B02" w:rsidP="000E2B02">
            <w:pPr>
              <w:rPr>
                <w:rFonts w:ascii="Calibri" w:hAnsi="Calibri" w:cs="Arial"/>
                <w:color w:val="002060"/>
                <w:sz w:val="20"/>
                <w:szCs w:val="20"/>
              </w:rPr>
            </w:pPr>
            <w:r w:rsidRPr="00A17F6B">
              <w:rPr>
                <w:rFonts w:ascii="Calibri" w:hAnsi="Calibri" w:cs="Arial"/>
                <w:color w:val="002060"/>
                <w:sz w:val="20"/>
                <w:szCs w:val="20"/>
              </w:rPr>
              <w:t xml:space="preserve">The assessment for the course accounts the following: </w:t>
            </w:r>
          </w:p>
          <w:p w14:paraId="291078FD" w14:textId="77777777" w:rsidR="000E2B02" w:rsidRPr="00A17F6B" w:rsidRDefault="000E2B02" w:rsidP="000E2B02">
            <w:pPr>
              <w:rPr>
                <w:rFonts w:ascii="Calibri" w:hAnsi="Calibri" w:cs="Arial"/>
                <w:color w:val="002060"/>
                <w:sz w:val="20"/>
                <w:szCs w:val="20"/>
              </w:rPr>
            </w:pPr>
          </w:p>
          <w:p w14:paraId="77FE3C93" w14:textId="77777777" w:rsidR="000E2B02" w:rsidRPr="00A17F6B" w:rsidRDefault="000E2B02" w:rsidP="000E2B02">
            <w:pPr>
              <w:tabs>
                <w:tab w:val="left" w:pos="291"/>
              </w:tabs>
              <w:rPr>
                <w:rFonts w:ascii="Calibri" w:hAnsi="Calibri" w:cs="Arial"/>
                <w:color w:val="002060"/>
                <w:sz w:val="20"/>
                <w:szCs w:val="20"/>
              </w:rPr>
            </w:pPr>
            <w:r w:rsidRPr="00A17F6B">
              <w:rPr>
                <w:rFonts w:ascii="Calibri" w:hAnsi="Calibri" w:cs="Arial"/>
                <w:color w:val="002060"/>
                <w:sz w:val="20"/>
                <w:szCs w:val="20"/>
              </w:rPr>
              <w:t>•</w:t>
            </w:r>
            <w:r w:rsidRPr="00A17F6B">
              <w:rPr>
                <w:rFonts w:ascii="Calibri" w:hAnsi="Calibri" w:cs="Arial"/>
                <w:color w:val="002060"/>
                <w:sz w:val="20"/>
                <w:szCs w:val="20"/>
              </w:rPr>
              <w:tab/>
              <w:t xml:space="preserve">Individual reflection assignments (edit of reflection texts for basic concepts) (20%), </w:t>
            </w:r>
          </w:p>
          <w:p w14:paraId="6F66DC38" w14:textId="77777777" w:rsidR="000E2B02" w:rsidRPr="00A17F6B" w:rsidRDefault="000E2B02" w:rsidP="000E2B02">
            <w:pPr>
              <w:tabs>
                <w:tab w:val="left" w:pos="291"/>
              </w:tabs>
              <w:rPr>
                <w:rFonts w:ascii="Calibri" w:hAnsi="Calibri" w:cs="Arial"/>
                <w:color w:val="002060"/>
                <w:sz w:val="20"/>
                <w:szCs w:val="20"/>
              </w:rPr>
            </w:pPr>
            <w:r w:rsidRPr="00A17F6B">
              <w:rPr>
                <w:rFonts w:ascii="Calibri" w:hAnsi="Calibri" w:cs="Arial"/>
                <w:color w:val="002060"/>
                <w:sz w:val="20"/>
                <w:szCs w:val="20"/>
              </w:rPr>
              <w:t>•</w:t>
            </w:r>
            <w:r w:rsidRPr="00A17F6B">
              <w:rPr>
                <w:rFonts w:ascii="Calibri" w:hAnsi="Calibri" w:cs="Arial"/>
                <w:color w:val="002060"/>
                <w:sz w:val="20"/>
                <w:szCs w:val="20"/>
              </w:rPr>
              <w:tab/>
              <w:t xml:space="preserve">Collaborative learning project (50%) </w:t>
            </w:r>
          </w:p>
          <w:p w14:paraId="581B4442" w14:textId="77777777" w:rsidR="000E2B02" w:rsidRPr="00A17F6B" w:rsidRDefault="000E2B02" w:rsidP="000E2B02">
            <w:pPr>
              <w:tabs>
                <w:tab w:val="left" w:pos="291"/>
              </w:tabs>
              <w:rPr>
                <w:rFonts w:ascii="Calibri" w:hAnsi="Calibri" w:cs="Arial"/>
                <w:color w:val="002060"/>
                <w:sz w:val="20"/>
                <w:szCs w:val="20"/>
              </w:rPr>
            </w:pPr>
            <w:r w:rsidRPr="00A17F6B">
              <w:rPr>
                <w:rFonts w:ascii="Calibri" w:hAnsi="Calibri" w:cs="Arial"/>
                <w:color w:val="002060"/>
                <w:sz w:val="20"/>
                <w:szCs w:val="20"/>
              </w:rPr>
              <w:t>•</w:t>
            </w:r>
            <w:r w:rsidRPr="00A17F6B">
              <w:rPr>
                <w:rFonts w:ascii="Calibri" w:hAnsi="Calibri" w:cs="Arial"/>
                <w:color w:val="002060"/>
                <w:sz w:val="20"/>
                <w:szCs w:val="20"/>
              </w:rPr>
              <w:tab/>
              <w:t xml:space="preserve">Presentation of the collaborative project (20%) </w:t>
            </w:r>
          </w:p>
          <w:p w14:paraId="291671D1" w14:textId="77777777" w:rsidR="000E2B02" w:rsidRPr="00A17F6B" w:rsidRDefault="000E2B02" w:rsidP="000E2B02">
            <w:pPr>
              <w:tabs>
                <w:tab w:val="left" w:pos="291"/>
              </w:tabs>
              <w:rPr>
                <w:rFonts w:ascii="Calibri" w:hAnsi="Calibri" w:cs="Arial"/>
                <w:color w:val="002060"/>
                <w:sz w:val="20"/>
                <w:szCs w:val="20"/>
              </w:rPr>
            </w:pPr>
            <w:r w:rsidRPr="00A17F6B">
              <w:rPr>
                <w:rFonts w:ascii="Calibri" w:hAnsi="Calibri" w:cs="Arial"/>
                <w:color w:val="002060"/>
                <w:sz w:val="20"/>
                <w:szCs w:val="20"/>
              </w:rPr>
              <w:t>•</w:t>
            </w:r>
            <w:r w:rsidRPr="00A17F6B">
              <w:rPr>
                <w:rFonts w:ascii="Calibri" w:hAnsi="Calibri" w:cs="Arial"/>
                <w:color w:val="002060"/>
                <w:sz w:val="20"/>
                <w:szCs w:val="20"/>
              </w:rPr>
              <w:tab/>
              <w:t>Thorough and active participation (10%)</w:t>
            </w:r>
          </w:p>
          <w:p w14:paraId="5D193099" w14:textId="77777777" w:rsidR="000E2B02" w:rsidRPr="00A17F6B" w:rsidRDefault="000E2B02" w:rsidP="000E2B02">
            <w:pPr>
              <w:rPr>
                <w:rFonts w:ascii="Calibri" w:hAnsi="Calibri" w:cs="Arial"/>
                <w:color w:val="002060"/>
                <w:sz w:val="20"/>
                <w:szCs w:val="20"/>
              </w:rPr>
            </w:pPr>
          </w:p>
          <w:p w14:paraId="2567B37B" w14:textId="433F58C9" w:rsidR="00CC1EC5" w:rsidRDefault="000E2B02" w:rsidP="00E30CBA">
            <w:pPr>
              <w:rPr>
                <w:rFonts w:ascii="Calibri" w:hAnsi="Calibri" w:cs="Arial"/>
                <w:color w:val="002060"/>
                <w:sz w:val="20"/>
                <w:szCs w:val="20"/>
              </w:rPr>
            </w:pPr>
            <w:r w:rsidRPr="00A17F6B">
              <w:rPr>
                <w:rFonts w:ascii="Calibri" w:hAnsi="Calibri" w:cs="Arial"/>
                <w:color w:val="002060"/>
                <w:sz w:val="20"/>
                <w:szCs w:val="20"/>
              </w:rPr>
              <w:t>The assessment procedure may adapt year by year.</w:t>
            </w:r>
          </w:p>
          <w:p w14:paraId="393777FD" w14:textId="77777777" w:rsidR="001030A9" w:rsidRPr="00F25E55" w:rsidRDefault="001030A9" w:rsidP="00E30CBA">
            <w:pPr>
              <w:rPr>
                <w:rFonts w:ascii="Calibri" w:hAnsi="Calibri" w:cs="Arial"/>
                <w:color w:val="002060"/>
                <w:sz w:val="20"/>
                <w:szCs w:val="20"/>
              </w:rPr>
            </w:pPr>
          </w:p>
          <w:p w14:paraId="751192F9" w14:textId="77777777" w:rsidR="00F25E55" w:rsidRPr="00F25E55" w:rsidRDefault="00F25E55" w:rsidP="00F25E55">
            <w:pPr>
              <w:jc w:val="both"/>
              <w:rPr>
                <w:rFonts w:asciiTheme="minorHAnsi" w:hAnsiTheme="minorHAnsi" w:cstheme="minorHAnsi"/>
                <w:color w:val="002060"/>
                <w:sz w:val="20"/>
                <w:szCs w:val="20"/>
              </w:rPr>
            </w:pPr>
            <w:r w:rsidRPr="00F25E55">
              <w:rPr>
                <w:rFonts w:asciiTheme="minorHAnsi" w:hAnsiTheme="minorHAnsi" w:cstheme="minorHAnsi"/>
                <w:color w:val="002060"/>
                <w:sz w:val="20"/>
                <w:szCs w:val="20"/>
              </w:rPr>
              <w:t xml:space="preserve">The use of GenAI tools within the context of the course is governed by Senate Decision No. 45/20.02.2026 of the University of the Aegean, as well as by the specific guidelines provided by the teaching staff </w:t>
            </w:r>
            <w:proofErr w:type="gramStart"/>
            <w:r w:rsidRPr="00F25E55">
              <w:rPr>
                <w:rFonts w:asciiTheme="minorHAnsi" w:hAnsiTheme="minorHAnsi" w:cstheme="minorHAnsi"/>
                <w:color w:val="002060"/>
                <w:sz w:val="20"/>
                <w:szCs w:val="20"/>
              </w:rPr>
              <w:t>member</w:t>
            </w:r>
            <w:proofErr w:type="gramEnd"/>
            <w:r w:rsidRPr="00F25E55">
              <w:rPr>
                <w:rFonts w:asciiTheme="minorHAnsi" w:hAnsiTheme="minorHAnsi" w:cstheme="minorHAnsi"/>
                <w:color w:val="002060"/>
                <w:sz w:val="20"/>
                <w:szCs w:val="20"/>
              </w:rPr>
              <w:t>. The teaching staff member determines the applicable level of GenAI use (1–5) for the course, along with the conditions for its permissible use and disclosure and informs students accordingly at the beginning of the semester.</w:t>
            </w:r>
          </w:p>
          <w:p w14:paraId="76B3DF0F" w14:textId="3E4040CF" w:rsidR="00F25E55" w:rsidRPr="00F25E55" w:rsidRDefault="00F25E55" w:rsidP="00F25E55">
            <w:pPr>
              <w:jc w:val="both"/>
              <w:rPr>
                <w:rFonts w:asciiTheme="minorHAnsi" w:hAnsiTheme="minorHAnsi" w:cstheme="minorHAnsi"/>
                <w:color w:val="002060"/>
                <w:sz w:val="20"/>
                <w:szCs w:val="20"/>
              </w:rPr>
            </w:pPr>
            <w:r w:rsidRPr="00F25E55">
              <w:rPr>
                <w:rFonts w:asciiTheme="minorHAnsi" w:hAnsiTheme="minorHAnsi" w:cstheme="minorHAnsi"/>
                <w:color w:val="002060"/>
                <w:sz w:val="20"/>
                <w:szCs w:val="20"/>
              </w:rPr>
              <w:t>The GenAI usage policy may vary from one academic year to another and/or between courses, depending on the learning objectives and requirements of each course.</w:t>
            </w:r>
          </w:p>
          <w:p w14:paraId="165D31E2" w14:textId="77777777" w:rsidR="00CC1EC5" w:rsidRPr="006403CB" w:rsidRDefault="00CC1EC5" w:rsidP="00E30CBA">
            <w:pPr>
              <w:rPr>
                <w:rFonts w:asciiTheme="majorHAnsi" w:hAnsiTheme="majorHAnsi" w:cs="Arial"/>
                <w:color w:val="002060"/>
                <w:lang w:val="en-GB"/>
              </w:rPr>
            </w:pPr>
          </w:p>
        </w:tc>
      </w:tr>
    </w:tbl>
    <w:p w14:paraId="5036E213"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6EA8561D" w14:textId="77777777" w:rsidTr="00E30CBA">
        <w:tc>
          <w:tcPr>
            <w:tcW w:w="8472" w:type="dxa"/>
          </w:tcPr>
          <w:p w14:paraId="03009A3E" w14:textId="7D144854" w:rsidR="000E2B02" w:rsidRDefault="000E2B02" w:rsidP="000E2B02">
            <w:pPr>
              <w:jc w:val="both"/>
              <w:rPr>
                <w:rFonts w:asciiTheme="majorHAnsi" w:hAnsiTheme="majorHAnsi" w:cs="Arial"/>
                <w:i/>
                <w:sz w:val="16"/>
                <w:szCs w:val="16"/>
                <w:lang w:val="en-GB"/>
              </w:rPr>
            </w:pPr>
            <w:r w:rsidRPr="000E2B02">
              <w:rPr>
                <w:rFonts w:ascii="Calibri" w:hAnsi="Calibri" w:cs="Arial"/>
                <w:b/>
                <w:bCs/>
                <w:i/>
                <w:iCs/>
                <w:color w:val="002060"/>
                <w:sz w:val="20"/>
                <w:szCs w:val="20"/>
              </w:rPr>
              <w:t>- Suggested bibliography:</w:t>
            </w:r>
          </w:p>
          <w:p w14:paraId="58A73CE8" w14:textId="77777777" w:rsidR="000E2B02" w:rsidRPr="003406F7"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Bragg, L. (2012). Testing the effectiveness of mathematical games as a pedagogical tool for children’s learning. International Journal of Science and Mathematics Education, 10, National Science Council.</w:t>
            </w:r>
          </w:p>
          <w:p w14:paraId="22D87FA0" w14:textId="77777777" w:rsidR="000E2B02" w:rsidRPr="003406F7"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Elia, I. (2020). Word problem solving and pictorial representations: insights from an exploratory study in kindergarten. ZDM 52(17-31).</w:t>
            </w:r>
          </w:p>
          <w:p w14:paraId="66A4F3D1" w14:textId="77777777" w:rsidR="000E2B02" w:rsidRPr="003406F7"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Fujita, T., Doney, J., &amp; Wegerif, R. (2019). Students’ collaborative decision-making processes in defining and classifying quadrilaterals: a semiotic/dialogic approach. Educational Studies in Mathematics, 101, 341–356. https://doi.org/10.1007/s10649-019-09892-9</w:t>
            </w:r>
          </w:p>
          <w:p w14:paraId="612A78D5" w14:textId="77777777" w:rsidR="000E2B02" w:rsidRDefault="000E2B02" w:rsidP="000E2B02">
            <w:pPr>
              <w:ind w:left="449" w:hanging="425"/>
              <w:jc w:val="both"/>
              <w:rPr>
                <w:rFonts w:ascii="Calibri" w:hAnsi="Calibri" w:cs="Arial"/>
                <w:i/>
                <w:iCs/>
                <w:color w:val="002060"/>
                <w:sz w:val="20"/>
                <w:szCs w:val="20"/>
              </w:rPr>
            </w:pPr>
            <w:proofErr w:type="spellStart"/>
            <w:r w:rsidRPr="003406F7">
              <w:rPr>
                <w:rFonts w:ascii="Calibri" w:hAnsi="Calibri" w:cs="Arial"/>
                <w:i/>
                <w:iCs/>
                <w:color w:val="002060"/>
                <w:sz w:val="20"/>
                <w:szCs w:val="20"/>
              </w:rPr>
              <w:lastRenderedPageBreak/>
              <w:t>Gómezescobar</w:t>
            </w:r>
            <w:proofErr w:type="spellEnd"/>
            <w:r w:rsidRPr="003406F7">
              <w:rPr>
                <w:rFonts w:ascii="Calibri" w:hAnsi="Calibri" w:cs="Arial"/>
                <w:i/>
                <w:iCs/>
                <w:color w:val="002060"/>
                <w:sz w:val="20"/>
                <w:szCs w:val="20"/>
              </w:rPr>
              <w:t xml:space="preserve">, (2020). How long is it? Difficulties with the standard ruler use in Spanish children aged 5 to 8. Early Childhood Education Journal 48, 693-701. </w:t>
            </w:r>
          </w:p>
          <w:p w14:paraId="356A7067" w14:textId="77777777" w:rsidR="000E2B02" w:rsidRPr="003406F7"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Heshmati, S., Kersting, N. &amp; Sutton, T. (2018). Opportunities and challenges of implementing instructional games in mathematics classrooms: Examining the quality of teacher-student interactions during the cover-up and un-cover games. International Journal of Science and Mathematics Education 16, 777-796.</w:t>
            </w:r>
          </w:p>
          <w:p w14:paraId="4F66DDE8" w14:textId="77777777" w:rsidR="000E2B02" w:rsidRPr="003406F7"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MacDonald, Α., &amp; Murphy, S. (2020). Young children’s understandings of clocks at the start of school. International Journal for Mathematics Teaching and Learning, 21(1), 19-30.</w:t>
            </w:r>
          </w:p>
          <w:p w14:paraId="385BF9DA" w14:textId="77777777" w:rsidR="000E2B02" w:rsidRPr="003406F7" w:rsidRDefault="000E2B02" w:rsidP="000E2B02">
            <w:pPr>
              <w:ind w:left="449" w:hanging="425"/>
              <w:jc w:val="both"/>
              <w:rPr>
                <w:rFonts w:ascii="Calibri" w:hAnsi="Calibri" w:cs="Arial"/>
                <w:i/>
                <w:iCs/>
                <w:color w:val="002060"/>
                <w:sz w:val="20"/>
                <w:szCs w:val="20"/>
              </w:rPr>
            </w:pPr>
          </w:p>
          <w:p w14:paraId="3B8D019A" w14:textId="77777777" w:rsidR="000E2B02" w:rsidRPr="003406F7"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Montenegro, P. Costa, C. &amp; Lopes, B. (2018). Transformations in the visual representation of a figural pattern. Mathematical Thinking and Learning, 20, 2, 91-107, DOI: 10.1080/10986065.2018.1441599</w:t>
            </w:r>
          </w:p>
          <w:p w14:paraId="2B834FE2" w14:textId="77777777" w:rsidR="000E2B02" w:rsidRP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Osana, H., Adrien, E. &amp; </w:t>
            </w:r>
            <w:proofErr w:type="spellStart"/>
            <w:r w:rsidRPr="003406F7">
              <w:rPr>
                <w:rFonts w:ascii="Calibri" w:hAnsi="Calibri" w:cs="Arial"/>
                <w:i/>
                <w:iCs/>
                <w:color w:val="002060"/>
                <w:sz w:val="20"/>
                <w:szCs w:val="20"/>
              </w:rPr>
              <w:t>Duponsel</w:t>
            </w:r>
            <w:proofErr w:type="spellEnd"/>
            <w:r w:rsidRPr="003406F7">
              <w:rPr>
                <w:rFonts w:ascii="Calibri" w:hAnsi="Calibri" w:cs="Arial"/>
                <w:i/>
                <w:iCs/>
                <w:color w:val="002060"/>
                <w:sz w:val="20"/>
                <w:szCs w:val="20"/>
              </w:rPr>
              <w:t xml:space="preserve">, N. (2017). Effects of instructional guidance and sequencing of manipulatives and written symbols on second graders’ numeration knowledge. Education Sciences, 7(2), 52. doi:10.3390/educsci7020052 </w:t>
            </w:r>
          </w:p>
          <w:p w14:paraId="679C49E5" w14:textId="77777777" w:rsid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Overmann, </w:t>
            </w:r>
            <w:r w:rsidRPr="003406F7">
              <w:rPr>
                <w:rFonts w:ascii="Calibri" w:hAnsi="Calibri" w:cs="Arial"/>
                <w:i/>
                <w:iCs/>
                <w:color w:val="002060"/>
                <w:sz w:val="20"/>
                <w:szCs w:val="20"/>
                <w:lang w:val="el-GR"/>
              </w:rPr>
              <w:t>Κ</w:t>
            </w:r>
            <w:r w:rsidRPr="003406F7">
              <w:rPr>
                <w:rFonts w:ascii="Calibri" w:hAnsi="Calibri" w:cs="Arial"/>
                <w:i/>
                <w:iCs/>
                <w:color w:val="002060"/>
                <w:sz w:val="20"/>
                <w:szCs w:val="20"/>
              </w:rPr>
              <w:t>. (2018). Constructing a concept of number. Journal of Numerical Cognition, 4(2), 464-493, doi:10.5964/jnc.v4i2.161</w:t>
            </w:r>
          </w:p>
          <w:p w14:paraId="71CBCA41" w14:textId="77777777" w:rsid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Rezat, S. &amp; </w:t>
            </w:r>
            <w:proofErr w:type="spellStart"/>
            <w:r w:rsidRPr="003406F7">
              <w:rPr>
                <w:rFonts w:ascii="Calibri" w:hAnsi="Calibri" w:cs="Arial"/>
                <w:i/>
                <w:iCs/>
                <w:color w:val="002060"/>
                <w:sz w:val="20"/>
                <w:szCs w:val="20"/>
              </w:rPr>
              <w:t>Straßer</w:t>
            </w:r>
            <w:proofErr w:type="spellEnd"/>
            <w:r w:rsidRPr="003406F7">
              <w:rPr>
                <w:rFonts w:ascii="Calibri" w:hAnsi="Calibri" w:cs="Arial"/>
                <w:i/>
                <w:iCs/>
                <w:color w:val="002060"/>
                <w:sz w:val="20"/>
                <w:szCs w:val="20"/>
              </w:rPr>
              <w:t>, R. (2012). From the didactical triangle to the socio-didactical tetrahedron: artifacts as fundamental constituents of the didactical situation. ZDM Mathematics Education, 44, 641–651. DOI 10.1007/s11858-012-0448-4</w:t>
            </w:r>
          </w:p>
          <w:p w14:paraId="321B0751" w14:textId="77777777" w:rsid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Ross, W., Vallée-Tourangeau, F. &amp; Van </w:t>
            </w:r>
            <w:proofErr w:type="spellStart"/>
            <w:r w:rsidRPr="003406F7">
              <w:rPr>
                <w:rFonts w:ascii="Calibri" w:hAnsi="Calibri" w:cs="Arial"/>
                <w:i/>
                <w:iCs/>
                <w:color w:val="002060"/>
                <w:sz w:val="20"/>
                <w:szCs w:val="20"/>
              </w:rPr>
              <w:t>Herwegen</w:t>
            </w:r>
            <w:proofErr w:type="spellEnd"/>
            <w:r w:rsidRPr="003406F7">
              <w:rPr>
                <w:rFonts w:ascii="Calibri" w:hAnsi="Calibri" w:cs="Arial"/>
                <w:i/>
                <w:iCs/>
                <w:color w:val="002060"/>
                <w:sz w:val="20"/>
                <w:szCs w:val="20"/>
              </w:rPr>
              <w:t>, J. (2020) Mental arithmetic and interactivity: the effect of manipulating external number representations on older children’s mental arithmetic success. International Journal of Science and Mathematics Education, 18, 985-1000.</w:t>
            </w:r>
          </w:p>
          <w:p w14:paraId="51F470E3" w14:textId="77777777" w:rsid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Stebler, R., Vogt, F., Wolf, I., Hauser, B. &amp; Rechsteiner, K. (2013). Play-Based Mathematics in Kindergarten. A Video Analysis of Children’s Mathematical </w:t>
            </w:r>
            <w:proofErr w:type="spellStart"/>
            <w:r w:rsidRPr="003406F7">
              <w:rPr>
                <w:rFonts w:ascii="Calibri" w:hAnsi="Calibri" w:cs="Arial"/>
                <w:i/>
                <w:iCs/>
                <w:color w:val="002060"/>
                <w:sz w:val="20"/>
                <w:szCs w:val="20"/>
              </w:rPr>
              <w:t>Behaviour</w:t>
            </w:r>
            <w:proofErr w:type="spellEnd"/>
            <w:r w:rsidRPr="003406F7">
              <w:rPr>
                <w:rFonts w:ascii="Calibri" w:hAnsi="Calibri" w:cs="Arial"/>
                <w:i/>
                <w:iCs/>
                <w:color w:val="002060"/>
                <w:sz w:val="20"/>
                <w:szCs w:val="20"/>
              </w:rPr>
              <w:t xml:space="preserve"> While Playing a Board Game in Small Groups. J Math Didakt, 34, 149-175. Doi 10.1007/s13138-013-0051-4</w:t>
            </w:r>
          </w:p>
          <w:p w14:paraId="299B92BA" w14:textId="77777777" w:rsidR="000E2B02" w:rsidRDefault="000E2B02" w:rsidP="000E2B02">
            <w:pPr>
              <w:ind w:left="449" w:hanging="425"/>
              <w:jc w:val="both"/>
              <w:rPr>
                <w:rFonts w:ascii="Calibri" w:hAnsi="Calibri" w:cs="Arial"/>
                <w:i/>
                <w:iCs/>
                <w:color w:val="002060"/>
                <w:sz w:val="20"/>
                <w:szCs w:val="20"/>
              </w:rPr>
            </w:pPr>
            <w:proofErr w:type="spellStart"/>
            <w:r w:rsidRPr="003406F7">
              <w:rPr>
                <w:rFonts w:ascii="Calibri" w:hAnsi="Calibri" w:cs="Arial"/>
                <w:i/>
                <w:iCs/>
                <w:color w:val="002060"/>
                <w:sz w:val="20"/>
                <w:szCs w:val="20"/>
              </w:rPr>
              <w:t>Ubuz</w:t>
            </w:r>
            <w:proofErr w:type="spellEnd"/>
            <w:r w:rsidRPr="003406F7">
              <w:rPr>
                <w:rFonts w:ascii="Calibri" w:hAnsi="Calibri" w:cs="Arial"/>
                <w:i/>
                <w:iCs/>
                <w:color w:val="002060"/>
                <w:sz w:val="20"/>
                <w:szCs w:val="20"/>
              </w:rPr>
              <w:t>, B. &amp; Erdogan, B. (2019). Effects of physical manipulative instructions with or without explicit metacognitive questions on geometrical knowledge acquisition. International Journal of Science and Mathematics Education 17, 129-151.</w:t>
            </w:r>
          </w:p>
          <w:p w14:paraId="5058B060" w14:textId="77777777" w:rsid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Ulusoy, F. (2019). Early-Years prospective teachers’ definitions, examples and non-examples of cylinder and prism. International Journal for Mathematics Teaching and Learning, 20(2), 149-169.</w:t>
            </w:r>
          </w:p>
          <w:p w14:paraId="757345AA" w14:textId="77777777" w:rsidR="000E2B02" w:rsidRDefault="000E2B02" w:rsidP="000E2B02">
            <w:pPr>
              <w:ind w:left="449" w:hanging="425"/>
              <w:jc w:val="both"/>
              <w:rPr>
                <w:rFonts w:ascii="Calibri" w:hAnsi="Calibri" w:cs="Arial"/>
                <w:i/>
                <w:iCs/>
                <w:color w:val="002060"/>
                <w:sz w:val="20"/>
                <w:szCs w:val="20"/>
              </w:rPr>
            </w:pPr>
            <w:r w:rsidRPr="003406F7">
              <w:rPr>
                <w:rFonts w:ascii="Calibri" w:hAnsi="Calibri" w:cs="Arial"/>
                <w:i/>
                <w:iCs/>
                <w:color w:val="002060"/>
                <w:sz w:val="20"/>
                <w:szCs w:val="20"/>
              </w:rPr>
              <w:t xml:space="preserve">Van Lieshout E. &amp; </w:t>
            </w:r>
            <w:proofErr w:type="spellStart"/>
            <w:r w:rsidRPr="003406F7">
              <w:rPr>
                <w:rFonts w:ascii="Calibri" w:hAnsi="Calibri" w:cs="Arial"/>
                <w:i/>
                <w:iCs/>
                <w:color w:val="002060"/>
                <w:sz w:val="20"/>
                <w:szCs w:val="20"/>
              </w:rPr>
              <w:t>Xenidou</w:t>
            </w:r>
            <w:proofErr w:type="spellEnd"/>
            <w:r w:rsidRPr="003406F7">
              <w:rPr>
                <w:rFonts w:ascii="Calibri" w:hAnsi="Calibri" w:cs="Arial"/>
                <w:i/>
                <w:iCs/>
                <w:color w:val="002060"/>
                <w:sz w:val="20"/>
                <w:szCs w:val="20"/>
              </w:rPr>
              <w:t>-Dervou, I. (2020). Simple pictorial mathematics problems for children: locating sources of cognitive load and how to reduce it. ZDM 52(73-85).</w:t>
            </w:r>
          </w:p>
          <w:p w14:paraId="62446F16" w14:textId="77777777" w:rsidR="000E2B02" w:rsidRPr="003406F7" w:rsidRDefault="000E2B02" w:rsidP="000E2B02">
            <w:pPr>
              <w:jc w:val="both"/>
              <w:rPr>
                <w:rFonts w:ascii="Calibri" w:hAnsi="Calibri" w:cs="Arial"/>
                <w:i/>
                <w:iCs/>
                <w:color w:val="002060"/>
                <w:sz w:val="20"/>
                <w:szCs w:val="20"/>
              </w:rPr>
            </w:pPr>
          </w:p>
          <w:p w14:paraId="0E27C6AA" w14:textId="74DBDFB2" w:rsidR="000E2B02" w:rsidRDefault="000E2B02" w:rsidP="000E2B02">
            <w:pPr>
              <w:jc w:val="both"/>
              <w:rPr>
                <w:rFonts w:asciiTheme="majorHAnsi" w:hAnsiTheme="majorHAnsi" w:cs="Arial"/>
                <w:i/>
                <w:sz w:val="16"/>
                <w:szCs w:val="16"/>
                <w:lang w:val="en-GB"/>
              </w:rPr>
            </w:pPr>
            <w:r w:rsidRPr="000E2B02">
              <w:rPr>
                <w:rFonts w:ascii="Calibri" w:hAnsi="Calibri" w:cs="Arial"/>
                <w:b/>
                <w:bCs/>
                <w:i/>
                <w:iCs/>
                <w:color w:val="002060"/>
                <w:sz w:val="20"/>
                <w:szCs w:val="20"/>
              </w:rPr>
              <w:t>- Related academic journals:</w:t>
            </w:r>
          </w:p>
          <w:p w14:paraId="4B84C9D1" w14:textId="77777777" w:rsidR="000E2B02" w:rsidRPr="00C074D4" w:rsidRDefault="000E2B02" w:rsidP="000E2B02">
            <w:pPr>
              <w:jc w:val="both"/>
              <w:rPr>
                <w:rFonts w:ascii="Calibri" w:hAnsi="Calibri" w:cs="Arial"/>
                <w:i/>
                <w:iCs/>
                <w:color w:val="002060"/>
                <w:sz w:val="20"/>
                <w:szCs w:val="20"/>
              </w:rPr>
            </w:pPr>
            <w:r w:rsidRPr="00C074D4">
              <w:rPr>
                <w:rFonts w:ascii="Calibri" w:hAnsi="Calibri" w:cs="Arial"/>
                <w:i/>
                <w:iCs/>
                <w:color w:val="002060"/>
                <w:sz w:val="20"/>
                <w:szCs w:val="20"/>
              </w:rPr>
              <w:t xml:space="preserve">Educational Studies in Mathematics </w:t>
            </w:r>
          </w:p>
          <w:p w14:paraId="403F2D9E" w14:textId="77777777" w:rsidR="000E2B02" w:rsidRPr="00C074D4" w:rsidRDefault="000E2B02" w:rsidP="000E2B02">
            <w:pPr>
              <w:jc w:val="both"/>
              <w:rPr>
                <w:rFonts w:ascii="Calibri" w:hAnsi="Calibri" w:cs="Arial"/>
                <w:i/>
                <w:iCs/>
                <w:color w:val="002060"/>
                <w:sz w:val="20"/>
                <w:szCs w:val="20"/>
              </w:rPr>
            </w:pPr>
            <w:r w:rsidRPr="00C074D4">
              <w:rPr>
                <w:rFonts w:ascii="Calibri" w:hAnsi="Calibri" w:cs="Arial"/>
                <w:i/>
                <w:iCs/>
                <w:color w:val="002060"/>
                <w:sz w:val="20"/>
                <w:szCs w:val="20"/>
              </w:rPr>
              <w:t xml:space="preserve">Eurasia Journal of Mathematics, Science &amp; Technology Education </w:t>
            </w:r>
          </w:p>
          <w:p w14:paraId="2B27A054" w14:textId="3D9C4013" w:rsidR="00C02752" w:rsidRDefault="00C02752" w:rsidP="000E2B02">
            <w:pPr>
              <w:jc w:val="both"/>
              <w:rPr>
                <w:rFonts w:ascii="Calibri" w:hAnsi="Calibri" w:cs="Arial"/>
                <w:i/>
                <w:iCs/>
                <w:color w:val="002060"/>
                <w:sz w:val="20"/>
                <w:szCs w:val="20"/>
              </w:rPr>
            </w:pPr>
            <w:r w:rsidRPr="00C02752">
              <w:rPr>
                <w:rFonts w:ascii="Calibri" w:hAnsi="Calibri" w:cs="Arial"/>
                <w:i/>
                <w:iCs/>
                <w:color w:val="002060"/>
                <w:sz w:val="20"/>
                <w:szCs w:val="20"/>
              </w:rPr>
              <w:t>International Journal for Mathematics in Education</w:t>
            </w:r>
          </w:p>
          <w:p w14:paraId="52C5E64E" w14:textId="414C6767" w:rsidR="000E2B02" w:rsidRDefault="000E2B02" w:rsidP="000E2B02">
            <w:pPr>
              <w:jc w:val="both"/>
              <w:rPr>
                <w:rFonts w:ascii="Calibri" w:hAnsi="Calibri" w:cs="Arial"/>
                <w:i/>
                <w:iCs/>
                <w:color w:val="002060"/>
                <w:sz w:val="20"/>
                <w:szCs w:val="20"/>
              </w:rPr>
            </w:pPr>
            <w:r w:rsidRPr="00C074D4">
              <w:rPr>
                <w:rFonts w:ascii="Calibri" w:hAnsi="Calibri" w:cs="Arial"/>
                <w:i/>
                <w:iCs/>
                <w:color w:val="002060"/>
                <w:sz w:val="20"/>
                <w:szCs w:val="20"/>
              </w:rPr>
              <w:t>International Journal of Science and mathematics Education</w:t>
            </w:r>
          </w:p>
          <w:p w14:paraId="0D212B5C" w14:textId="77777777" w:rsidR="000E2B02" w:rsidRPr="00C074D4" w:rsidRDefault="000E2B02" w:rsidP="000E2B02">
            <w:pPr>
              <w:jc w:val="both"/>
              <w:rPr>
                <w:rFonts w:ascii="Calibri" w:hAnsi="Calibri" w:cs="Arial"/>
                <w:i/>
                <w:iCs/>
                <w:color w:val="002060"/>
                <w:sz w:val="20"/>
                <w:szCs w:val="20"/>
              </w:rPr>
            </w:pPr>
            <w:r w:rsidRPr="00416BCF">
              <w:rPr>
                <w:rFonts w:ascii="Calibri" w:hAnsi="Calibri" w:cs="Arial"/>
                <w:i/>
                <w:iCs/>
                <w:color w:val="002060"/>
                <w:sz w:val="20"/>
                <w:szCs w:val="20"/>
              </w:rPr>
              <w:t>Research in Science Education</w:t>
            </w:r>
            <w:r w:rsidRPr="00C074D4">
              <w:rPr>
                <w:rFonts w:ascii="Calibri" w:hAnsi="Calibri" w:cs="Arial"/>
                <w:i/>
                <w:iCs/>
                <w:color w:val="002060"/>
                <w:sz w:val="20"/>
                <w:szCs w:val="20"/>
              </w:rPr>
              <w:t xml:space="preserve"> </w:t>
            </w:r>
          </w:p>
          <w:p w14:paraId="4C8926E9" w14:textId="77777777" w:rsidR="000E2B02" w:rsidRDefault="000E2B02" w:rsidP="000E2B02">
            <w:pPr>
              <w:jc w:val="both"/>
              <w:rPr>
                <w:rFonts w:ascii="Calibri" w:hAnsi="Calibri" w:cs="Arial"/>
                <w:i/>
                <w:iCs/>
                <w:color w:val="002060"/>
                <w:sz w:val="20"/>
                <w:szCs w:val="20"/>
              </w:rPr>
            </w:pPr>
            <w:r w:rsidRPr="00C074D4">
              <w:rPr>
                <w:rFonts w:ascii="Calibri" w:hAnsi="Calibri" w:cs="Arial"/>
                <w:i/>
                <w:iCs/>
                <w:color w:val="002060"/>
                <w:sz w:val="20"/>
                <w:szCs w:val="20"/>
              </w:rPr>
              <w:t>ZDM</w:t>
            </w:r>
          </w:p>
          <w:p w14:paraId="4C3A2B9F" w14:textId="77777777" w:rsidR="00CC1EC5" w:rsidRPr="006403CB" w:rsidRDefault="00CC1EC5" w:rsidP="00E30CBA">
            <w:pPr>
              <w:jc w:val="both"/>
              <w:rPr>
                <w:rFonts w:asciiTheme="majorHAnsi" w:hAnsiTheme="majorHAnsi" w:cs="Arial"/>
                <w:b/>
                <w:lang w:val="en-GB"/>
              </w:rPr>
            </w:pPr>
          </w:p>
        </w:tc>
      </w:tr>
    </w:tbl>
    <w:p w14:paraId="4AFC9131"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9BA"/>
    <w:multiLevelType w:val="hybridMultilevel"/>
    <w:tmpl w:val="FFA40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67B00730"/>
    <w:multiLevelType w:val="hybridMultilevel"/>
    <w:tmpl w:val="E0BC495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410541182">
    <w:abstractNumId w:val="1"/>
  </w:num>
  <w:num w:numId="2" w16cid:durableId="824470753">
    <w:abstractNumId w:val="3"/>
  </w:num>
  <w:num w:numId="3" w16cid:durableId="419452999">
    <w:abstractNumId w:val="2"/>
  </w:num>
  <w:num w:numId="4" w16cid:durableId="132392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C5"/>
    <w:rsid w:val="000C4460"/>
    <w:rsid w:val="000E2B02"/>
    <w:rsid w:val="001030A9"/>
    <w:rsid w:val="001A7AFC"/>
    <w:rsid w:val="001E647B"/>
    <w:rsid w:val="00345068"/>
    <w:rsid w:val="00393B1D"/>
    <w:rsid w:val="006A5903"/>
    <w:rsid w:val="00872123"/>
    <w:rsid w:val="008865E5"/>
    <w:rsid w:val="00A771EB"/>
    <w:rsid w:val="00B22020"/>
    <w:rsid w:val="00C02752"/>
    <w:rsid w:val="00C36535"/>
    <w:rsid w:val="00CC1EC5"/>
    <w:rsid w:val="00D52FA6"/>
    <w:rsid w:val="00F25E55"/>
    <w:rsid w:val="00F94B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43A"/>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character" w:styleId="-">
    <w:name w:val="Hyperlink"/>
    <w:basedOn w:val="a0"/>
    <w:uiPriority w:val="99"/>
    <w:rsid w:val="001E647B"/>
    <w:rPr>
      <w:rFonts w:cs="Times New Roman"/>
      <w:color w:val="0000FF"/>
      <w:u w:val="single"/>
    </w:rPr>
  </w:style>
  <w:style w:type="character" w:styleId="a4">
    <w:name w:val="Unresolved Mention"/>
    <w:basedOn w:val="a0"/>
    <w:uiPriority w:val="99"/>
    <w:semiHidden/>
    <w:unhideWhenUsed/>
    <w:rsid w:val="00393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ms-pvpy.aegean.gr/en/educational-material-orientatio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1661</Words>
  <Characters>8971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Rhodes_PMS_Book</cp:lastModifiedBy>
  <cp:revision>10</cp:revision>
  <dcterms:created xsi:type="dcterms:W3CDTF">2017-03-09T12:36:00Z</dcterms:created>
  <dcterms:modified xsi:type="dcterms:W3CDTF">2026-04-28T07:53:00Z</dcterms:modified>
</cp:coreProperties>
</file>