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31A7"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460231A8"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113"/>
        <w:gridCol w:w="1274"/>
        <w:gridCol w:w="1199"/>
        <w:gridCol w:w="341"/>
        <w:gridCol w:w="1227"/>
      </w:tblGrid>
      <w:tr w:rsidR="00CC1EC5" w:rsidRPr="006403CB" w14:paraId="460231AB" w14:textId="77777777" w:rsidTr="00192D0C">
        <w:tc>
          <w:tcPr>
            <w:tcW w:w="3142" w:type="dxa"/>
            <w:shd w:val="clear" w:color="auto" w:fill="D0CECE" w:themeFill="background2" w:themeFillShade="E6"/>
          </w:tcPr>
          <w:p w14:paraId="460231A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154" w:type="dxa"/>
            <w:gridSpan w:val="5"/>
          </w:tcPr>
          <w:p w14:paraId="460231AA" w14:textId="5DE1991F" w:rsidR="00CC1EC5" w:rsidRPr="006403CB" w:rsidRDefault="00384D31" w:rsidP="00E30CBA">
            <w:pPr>
              <w:rPr>
                <w:rFonts w:asciiTheme="majorHAnsi" w:hAnsiTheme="majorHAnsi" w:cs="Arial"/>
                <w:color w:val="002060"/>
                <w:sz w:val="20"/>
                <w:szCs w:val="20"/>
                <w:lang w:val="en-GB"/>
              </w:rPr>
            </w:pPr>
            <w:proofErr w:type="spellStart"/>
            <w:r w:rsidRPr="002B4FFC">
              <w:rPr>
                <w:rFonts w:ascii="Calibri" w:hAnsi="Calibri" w:cs="Arial"/>
                <w:color w:val="002060"/>
                <w:sz w:val="20"/>
                <w:szCs w:val="20"/>
                <w:lang w:val="el-GR"/>
              </w:rPr>
              <w:t>School</w:t>
            </w:r>
            <w:proofErr w:type="spellEnd"/>
            <w:r w:rsidRPr="002B4FFC">
              <w:rPr>
                <w:rFonts w:ascii="Calibri" w:hAnsi="Calibri" w:cs="Arial"/>
                <w:color w:val="002060"/>
                <w:sz w:val="20"/>
                <w:szCs w:val="20"/>
                <w:lang w:val="el-GR"/>
              </w:rPr>
              <w:t xml:space="preserve"> of </w:t>
            </w:r>
            <w:proofErr w:type="spellStart"/>
            <w:r w:rsidRPr="002B4FFC">
              <w:rPr>
                <w:rFonts w:ascii="Calibri" w:hAnsi="Calibri" w:cs="Arial"/>
                <w:color w:val="002060"/>
                <w:sz w:val="20"/>
                <w:szCs w:val="20"/>
                <w:lang w:val="el-GR"/>
              </w:rPr>
              <w:t>Humanities</w:t>
            </w:r>
            <w:proofErr w:type="spellEnd"/>
          </w:p>
        </w:tc>
      </w:tr>
      <w:tr w:rsidR="00CC1EC5" w:rsidRPr="006403CB" w14:paraId="460231AE" w14:textId="77777777" w:rsidTr="00192D0C">
        <w:tc>
          <w:tcPr>
            <w:tcW w:w="3142" w:type="dxa"/>
            <w:shd w:val="clear" w:color="auto" w:fill="D0CECE" w:themeFill="background2" w:themeFillShade="E6"/>
          </w:tcPr>
          <w:p w14:paraId="460231AC"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154" w:type="dxa"/>
            <w:gridSpan w:val="5"/>
          </w:tcPr>
          <w:p w14:paraId="4AFF8E1B" w14:textId="77777777" w:rsidR="006D051C" w:rsidRDefault="006D051C" w:rsidP="006D051C">
            <w:pPr>
              <w:rPr>
                <w:rFonts w:ascii="Calibri" w:hAnsi="Calibri" w:cs="Arial"/>
                <w:color w:val="002060"/>
                <w:sz w:val="20"/>
                <w:szCs w:val="20"/>
              </w:rPr>
            </w:pPr>
            <w:r w:rsidRPr="002B4FFC">
              <w:rPr>
                <w:rFonts w:ascii="Calibri" w:hAnsi="Calibri" w:cs="Arial"/>
                <w:color w:val="002060"/>
                <w:sz w:val="20"/>
                <w:szCs w:val="20"/>
              </w:rPr>
              <w:t xml:space="preserve">Department of </w:t>
            </w:r>
            <w:proofErr w:type="spellStart"/>
            <w:r w:rsidRPr="002B4FFC">
              <w:rPr>
                <w:rFonts w:ascii="Calibri" w:hAnsi="Calibri" w:cs="Arial"/>
                <w:color w:val="002060"/>
                <w:sz w:val="20"/>
                <w:szCs w:val="20"/>
              </w:rPr>
              <w:t>Prechool</w:t>
            </w:r>
            <w:proofErr w:type="spellEnd"/>
            <w:r w:rsidRPr="002B4FFC">
              <w:rPr>
                <w:rFonts w:ascii="Calibri" w:hAnsi="Calibri" w:cs="Arial"/>
                <w:color w:val="002060"/>
                <w:sz w:val="20"/>
                <w:szCs w:val="20"/>
              </w:rPr>
              <w:t xml:space="preserve"> Education Sciences and Educational Design</w:t>
            </w:r>
            <w:r>
              <w:rPr>
                <w:rFonts w:ascii="Calibri" w:hAnsi="Calibri" w:cs="Arial"/>
                <w:color w:val="002060"/>
                <w:sz w:val="20"/>
                <w:szCs w:val="20"/>
              </w:rPr>
              <w:t>.</w:t>
            </w:r>
          </w:p>
          <w:p w14:paraId="460231AD" w14:textId="085B5D50" w:rsidR="00CC1EC5" w:rsidRPr="006403CB" w:rsidRDefault="006D051C" w:rsidP="006D051C">
            <w:pPr>
              <w:rPr>
                <w:rFonts w:asciiTheme="majorHAnsi" w:hAnsiTheme="majorHAnsi" w:cs="Arial"/>
                <w:color w:val="002060"/>
                <w:sz w:val="20"/>
                <w:szCs w:val="20"/>
                <w:lang w:val="en-GB"/>
              </w:rPr>
            </w:pPr>
            <w:r w:rsidRPr="002B4FFC">
              <w:rPr>
                <w:rFonts w:ascii="Calibri" w:hAnsi="Calibri" w:cs="Arial"/>
                <w:color w:val="002060"/>
                <w:sz w:val="20"/>
                <w:szCs w:val="20"/>
              </w:rPr>
              <w:t>Postgraduate Studies</w:t>
            </w:r>
            <w:r>
              <w:rPr>
                <w:rFonts w:ascii="Calibri" w:hAnsi="Calibri" w:cs="Arial"/>
                <w:color w:val="002060"/>
                <w:sz w:val="20"/>
                <w:szCs w:val="20"/>
              </w:rPr>
              <w:t xml:space="preserve"> </w:t>
            </w:r>
            <w:proofErr w:type="spellStart"/>
            <w:r w:rsidRPr="002B4FFC">
              <w:rPr>
                <w:rFonts w:ascii="Calibri" w:hAnsi="Calibri" w:cs="Arial"/>
                <w:color w:val="002060"/>
                <w:sz w:val="20"/>
                <w:szCs w:val="20"/>
              </w:rPr>
              <w:t>Programme</w:t>
            </w:r>
            <w:proofErr w:type="spellEnd"/>
            <w:r w:rsidRPr="002B4FFC">
              <w:rPr>
                <w:rFonts w:ascii="Calibri" w:hAnsi="Calibri" w:cs="Arial"/>
                <w:color w:val="002060"/>
                <w:sz w:val="20"/>
                <w:szCs w:val="20"/>
              </w:rPr>
              <w:t xml:space="preserve"> in</w:t>
            </w:r>
            <w:r>
              <w:rPr>
                <w:rFonts w:ascii="Calibri" w:hAnsi="Calibri" w:cs="Arial"/>
                <w:color w:val="002060"/>
                <w:sz w:val="20"/>
                <w:szCs w:val="20"/>
              </w:rPr>
              <w:t xml:space="preserve"> Children’s Book and Educational Material.</w:t>
            </w:r>
          </w:p>
        </w:tc>
      </w:tr>
      <w:tr w:rsidR="00CC1EC5" w:rsidRPr="006403CB" w14:paraId="460231B1" w14:textId="77777777" w:rsidTr="00192D0C">
        <w:tc>
          <w:tcPr>
            <w:tcW w:w="3142" w:type="dxa"/>
            <w:shd w:val="clear" w:color="auto" w:fill="D0CECE" w:themeFill="background2" w:themeFillShade="E6"/>
          </w:tcPr>
          <w:p w14:paraId="460231A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154" w:type="dxa"/>
            <w:gridSpan w:val="5"/>
          </w:tcPr>
          <w:p w14:paraId="460231B0" w14:textId="51DE64F7" w:rsidR="00CC1EC5" w:rsidRPr="006403CB" w:rsidRDefault="002336BE" w:rsidP="002336BE">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Postgraduate Studies </w:t>
            </w:r>
            <w:r w:rsidRPr="00B860D3">
              <w:rPr>
                <w:rFonts w:asciiTheme="majorHAnsi" w:hAnsiTheme="majorHAnsi" w:cs="Arial"/>
                <w:color w:val="002060"/>
                <w:sz w:val="20"/>
                <w:szCs w:val="20"/>
                <w:lang w:val="en-GB"/>
              </w:rPr>
              <w:t>(Level 7)</w:t>
            </w:r>
          </w:p>
        </w:tc>
      </w:tr>
      <w:tr w:rsidR="00CC1EC5" w:rsidRPr="006403CB" w14:paraId="460231B6" w14:textId="77777777" w:rsidTr="00192D0C">
        <w:tc>
          <w:tcPr>
            <w:tcW w:w="3142" w:type="dxa"/>
            <w:shd w:val="clear" w:color="auto" w:fill="D0CECE" w:themeFill="background2" w:themeFillShade="E6"/>
          </w:tcPr>
          <w:p w14:paraId="460231B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13" w:type="dxa"/>
          </w:tcPr>
          <w:p w14:paraId="460231B3" w14:textId="4763B45B" w:rsidR="00CC1EC5" w:rsidRPr="006403CB" w:rsidRDefault="00727A2C" w:rsidP="00E30CBA">
            <w:pPr>
              <w:rPr>
                <w:rFonts w:asciiTheme="majorHAnsi" w:hAnsiTheme="majorHAnsi" w:cs="Arial"/>
                <w:b/>
                <w:sz w:val="20"/>
                <w:szCs w:val="20"/>
                <w:lang w:val="en-GB"/>
              </w:rPr>
            </w:pPr>
            <w:r>
              <w:rPr>
                <w:rFonts w:asciiTheme="majorHAnsi" w:hAnsiTheme="majorHAnsi" w:cs="Arial"/>
                <w:color w:val="002060"/>
                <w:sz w:val="20"/>
                <w:szCs w:val="20"/>
                <w:lang w:val="el-GR"/>
              </w:rPr>
              <w:t>ΠΥ2</w:t>
            </w:r>
          </w:p>
        </w:tc>
        <w:tc>
          <w:tcPr>
            <w:tcW w:w="2473" w:type="dxa"/>
            <w:gridSpan w:val="2"/>
            <w:shd w:val="clear" w:color="auto" w:fill="D0CECE" w:themeFill="background2" w:themeFillShade="E6"/>
          </w:tcPr>
          <w:p w14:paraId="460231B4"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68" w:type="dxa"/>
            <w:gridSpan w:val="2"/>
          </w:tcPr>
          <w:p w14:paraId="460231B5" w14:textId="5019715D" w:rsidR="00CC1EC5" w:rsidRPr="00727A2C" w:rsidRDefault="00727A2C" w:rsidP="00E30CBA">
            <w:pPr>
              <w:rPr>
                <w:rFonts w:asciiTheme="majorHAnsi" w:hAnsiTheme="majorHAnsi" w:cs="Arial"/>
                <w:b/>
                <w:sz w:val="20"/>
                <w:szCs w:val="20"/>
                <w:lang w:val="el-GR"/>
              </w:rPr>
            </w:pPr>
            <w:r w:rsidRPr="00727A2C">
              <w:rPr>
                <w:rFonts w:asciiTheme="majorHAnsi" w:hAnsiTheme="majorHAnsi" w:cs="Arial"/>
                <w:color w:val="002060"/>
                <w:sz w:val="20"/>
                <w:szCs w:val="20"/>
                <w:lang w:val="el-GR"/>
              </w:rPr>
              <w:t>Β’</w:t>
            </w:r>
          </w:p>
        </w:tc>
      </w:tr>
      <w:tr w:rsidR="00CC1EC5" w:rsidRPr="006403CB" w14:paraId="460231B9" w14:textId="77777777" w:rsidTr="00192D0C">
        <w:trPr>
          <w:trHeight w:val="375"/>
        </w:trPr>
        <w:tc>
          <w:tcPr>
            <w:tcW w:w="3142" w:type="dxa"/>
            <w:shd w:val="clear" w:color="auto" w:fill="D0CECE" w:themeFill="background2" w:themeFillShade="E6"/>
            <w:vAlign w:val="center"/>
          </w:tcPr>
          <w:p w14:paraId="460231B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154" w:type="dxa"/>
            <w:gridSpan w:val="5"/>
            <w:vAlign w:val="center"/>
          </w:tcPr>
          <w:p w14:paraId="460231B8" w14:textId="633D5CD4" w:rsidR="00CC1EC5" w:rsidRPr="006403CB" w:rsidRDefault="007B68FC" w:rsidP="00E30CBA">
            <w:pPr>
              <w:rPr>
                <w:rFonts w:asciiTheme="majorHAnsi" w:hAnsiTheme="majorHAnsi" w:cs="Arial"/>
                <w:sz w:val="20"/>
                <w:szCs w:val="20"/>
                <w:lang w:val="en-GB"/>
              </w:rPr>
            </w:pPr>
            <w:r w:rsidRPr="00D931A1">
              <w:rPr>
                <w:rFonts w:ascii="Calibri" w:hAnsi="Calibri" w:cs="Arial"/>
                <w:color w:val="002060"/>
                <w:sz w:val="20"/>
                <w:szCs w:val="20"/>
              </w:rPr>
              <w:t>Technological Educational Material</w:t>
            </w:r>
          </w:p>
        </w:tc>
      </w:tr>
      <w:tr w:rsidR="00CC1EC5" w:rsidRPr="006403CB" w14:paraId="460231BD" w14:textId="77777777" w:rsidTr="00192D0C">
        <w:trPr>
          <w:trHeight w:val="196"/>
        </w:trPr>
        <w:tc>
          <w:tcPr>
            <w:tcW w:w="5529" w:type="dxa"/>
            <w:gridSpan w:val="3"/>
            <w:shd w:val="clear" w:color="auto" w:fill="D0CECE" w:themeFill="background2" w:themeFillShade="E6"/>
            <w:vAlign w:val="center"/>
          </w:tcPr>
          <w:p w14:paraId="460231BA"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40" w:type="dxa"/>
            <w:gridSpan w:val="2"/>
            <w:shd w:val="clear" w:color="auto" w:fill="D0CECE" w:themeFill="background2" w:themeFillShade="E6"/>
            <w:vAlign w:val="center"/>
          </w:tcPr>
          <w:p w14:paraId="460231BB"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27" w:type="dxa"/>
            <w:shd w:val="clear" w:color="auto" w:fill="D0CECE" w:themeFill="background2" w:themeFillShade="E6"/>
            <w:vAlign w:val="center"/>
          </w:tcPr>
          <w:p w14:paraId="460231BC"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192D0C" w:rsidRPr="006403CB" w14:paraId="460231C1" w14:textId="77777777" w:rsidTr="00192D0C">
        <w:trPr>
          <w:trHeight w:val="194"/>
        </w:trPr>
        <w:tc>
          <w:tcPr>
            <w:tcW w:w="5529" w:type="dxa"/>
            <w:gridSpan w:val="3"/>
          </w:tcPr>
          <w:p w14:paraId="460231BE" w14:textId="123BDD68" w:rsidR="00192D0C" w:rsidRPr="006403CB" w:rsidRDefault="00192D0C" w:rsidP="00192D0C">
            <w:pPr>
              <w:jc w:val="right"/>
              <w:rPr>
                <w:rFonts w:asciiTheme="majorHAnsi" w:hAnsiTheme="majorHAnsi" w:cs="Arial"/>
                <w:color w:val="002060"/>
                <w:sz w:val="20"/>
                <w:szCs w:val="20"/>
                <w:lang w:val="en-GB"/>
              </w:rPr>
            </w:pPr>
            <w:r>
              <w:rPr>
                <w:rFonts w:asciiTheme="majorHAnsi" w:hAnsiTheme="majorHAnsi" w:cs="Arial"/>
                <w:color w:val="002060"/>
                <w:sz w:val="20"/>
                <w:szCs w:val="20"/>
                <w:lang w:val="en-GB"/>
              </w:rPr>
              <w:t>Lectures and workshops</w:t>
            </w:r>
          </w:p>
        </w:tc>
        <w:tc>
          <w:tcPr>
            <w:tcW w:w="1540" w:type="dxa"/>
            <w:gridSpan w:val="2"/>
          </w:tcPr>
          <w:p w14:paraId="460231BF" w14:textId="1DA98D8A" w:rsidR="00192D0C" w:rsidRPr="006403CB" w:rsidRDefault="00192D0C" w:rsidP="00192D0C">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27" w:type="dxa"/>
          </w:tcPr>
          <w:p w14:paraId="460231C0" w14:textId="5D94FB72" w:rsidR="00192D0C" w:rsidRPr="00192D0C" w:rsidRDefault="00192D0C" w:rsidP="00192D0C">
            <w:pPr>
              <w:jc w:val="center"/>
              <w:rPr>
                <w:rFonts w:asciiTheme="majorHAnsi" w:hAnsiTheme="majorHAnsi" w:cs="Arial"/>
                <w:color w:val="002060"/>
                <w:sz w:val="20"/>
                <w:szCs w:val="20"/>
              </w:rPr>
            </w:pPr>
            <w:r w:rsidRPr="00CB7D4B">
              <w:rPr>
                <w:rFonts w:asciiTheme="majorHAnsi" w:hAnsiTheme="majorHAnsi" w:cs="Arial"/>
                <w:color w:val="002060"/>
                <w:sz w:val="20"/>
                <w:szCs w:val="20"/>
              </w:rPr>
              <w:t xml:space="preserve">6 </w:t>
            </w:r>
          </w:p>
        </w:tc>
      </w:tr>
      <w:tr w:rsidR="00192D0C" w:rsidRPr="006403CB" w14:paraId="460231CD" w14:textId="77777777" w:rsidTr="00192D0C">
        <w:trPr>
          <w:trHeight w:val="194"/>
        </w:trPr>
        <w:tc>
          <w:tcPr>
            <w:tcW w:w="5529" w:type="dxa"/>
            <w:gridSpan w:val="3"/>
            <w:shd w:val="clear" w:color="auto" w:fill="D0CECE" w:themeFill="background2" w:themeFillShade="E6"/>
          </w:tcPr>
          <w:p w14:paraId="460231CA" w14:textId="77777777" w:rsidR="00192D0C" w:rsidRPr="006403CB" w:rsidRDefault="00192D0C" w:rsidP="00192D0C">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40" w:type="dxa"/>
            <w:gridSpan w:val="2"/>
          </w:tcPr>
          <w:p w14:paraId="460231CB" w14:textId="77777777" w:rsidR="00192D0C" w:rsidRPr="006403CB" w:rsidRDefault="00192D0C" w:rsidP="00192D0C">
            <w:pPr>
              <w:jc w:val="right"/>
              <w:rPr>
                <w:rFonts w:asciiTheme="majorHAnsi" w:hAnsiTheme="majorHAnsi" w:cs="Arial"/>
                <w:color w:val="002060"/>
                <w:sz w:val="20"/>
                <w:szCs w:val="20"/>
                <w:lang w:val="en-GB"/>
              </w:rPr>
            </w:pPr>
          </w:p>
        </w:tc>
        <w:tc>
          <w:tcPr>
            <w:tcW w:w="1227" w:type="dxa"/>
          </w:tcPr>
          <w:p w14:paraId="460231CC" w14:textId="77777777" w:rsidR="00192D0C" w:rsidRPr="006403CB" w:rsidRDefault="00192D0C" w:rsidP="00192D0C">
            <w:pPr>
              <w:rPr>
                <w:rFonts w:asciiTheme="majorHAnsi" w:hAnsiTheme="majorHAnsi" w:cs="Arial"/>
                <w:color w:val="002060"/>
                <w:sz w:val="20"/>
                <w:szCs w:val="20"/>
                <w:lang w:val="en-GB"/>
              </w:rPr>
            </w:pPr>
          </w:p>
        </w:tc>
      </w:tr>
      <w:tr w:rsidR="00192D0C" w:rsidRPr="006403CB" w14:paraId="460231D1" w14:textId="77777777" w:rsidTr="00192D0C">
        <w:trPr>
          <w:trHeight w:val="599"/>
        </w:trPr>
        <w:tc>
          <w:tcPr>
            <w:tcW w:w="3142" w:type="dxa"/>
            <w:shd w:val="clear" w:color="auto" w:fill="D0CECE" w:themeFill="background2" w:themeFillShade="E6"/>
          </w:tcPr>
          <w:p w14:paraId="460231CE" w14:textId="77777777" w:rsidR="00192D0C" w:rsidRPr="006403CB" w:rsidRDefault="00192D0C" w:rsidP="00192D0C">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460231CF"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154" w:type="dxa"/>
            <w:gridSpan w:val="5"/>
          </w:tcPr>
          <w:p w14:paraId="460231D0" w14:textId="4518355D" w:rsidR="00192D0C" w:rsidRPr="006403CB" w:rsidRDefault="003B46EE" w:rsidP="00192D0C">
            <w:pPr>
              <w:rPr>
                <w:rFonts w:asciiTheme="majorHAnsi" w:hAnsiTheme="majorHAnsi" w:cs="Arial"/>
                <w:color w:val="002060"/>
                <w:sz w:val="20"/>
                <w:szCs w:val="20"/>
                <w:lang w:val="en-GB"/>
              </w:rPr>
            </w:pPr>
            <w:r w:rsidRPr="003B46EE">
              <w:rPr>
                <w:rFonts w:asciiTheme="majorHAnsi" w:hAnsiTheme="majorHAnsi" w:cs="Arial"/>
                <w:color w:val="002060"/>
                <w:sz w:val="20"/>
                <w:szCs w:val="20"/>
                <w:lang w:val="en-GB"/>
              </w:rPr>
              <w:t>Specialised general knowledge, and skills development</w:t>
            </w:r>
          </w:p>
        </w:tc>
      </w:tr>
      <w:tr w:rsidR="00192D0C" w:rsidRPr="006403CB" w14:paraId="460231D5" w14:textId="77777777" w:rsidTr="00192D0C">
        <w:tc>
          <w:tcPr>
            <w:tcW w:w="3142" w:type="dxa"/>
            <w:shd w:val="clear" w:color="auto" w:fill="D0CECE" w:themeFill="background2" w:themeFillShade="E6"/>
          </w:tcPr>
          <w:p w14:paraId="460231D2"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60231D3" w14:textId="77777777" w:rsidR="00192D0C" w:rsidRPr="006403CB" w:rsidRDefault="00192D0C" w:rsidP="00192D0C">
            <w:pPr>
              <w:jc w:val="right"/>
              <w:rPr>
                <w:rFonts w:asciiTheme="majorHAnsi" w:hAnsiTheme="majorHAnsi" w:cs="Arial"/>
                <w:b/>
                <w:sz w:val="20"/>
                <w:szCs w:val="20"/>
                <w:lang w:val="en-GB"/>
              </w:rPr>
            </w:pPr>
          </w:p>
        </w:tc>
        <w:tc>
          <w:tcPr>
            <w:tcW w:w="5154" w:type="dxa"/>
            <w:gridSpan w:val="5"/>
          </w:tcPr>
          <w:p w14:paraId="460231D4" w14:textId="4AF90F7C" w:rsidR="00192D0C" w:rsidRPr="004A5541" w:rsidRDefault="004A5541" w:rsidP="00192D0C">
            <w:pPr>
              <w:rPr>
                <w:rFonts w:asciiTheme="majorHAnsi" w:hAnsiTheme="majorHAnsi" w:cs="Arial"/>
                <w:color w:val="002060"/>
                <w:sz w:val="20"/>
                <w:szCs w:val="20"/>
              </w:rPr>
            </w:pPr>
            <w:r>
              <w:rPr>
                <w:rFonts w:asciiTheme="majorHAnsi" w:hAnsiTheme="majorHAnsi" w:cs="Arial"/>
                <w:color w:val="002060"/>
                <w:sz w:val="20"/>
                <w:szCs w:val="20"/>
              </w:rPr>
              <w:t>None</w:t>
            </w:r>
          </w:p>
        </w:tc>
      </w:tr>
      <w:tr w:rsidR="00192D0C" w:rsidRPr="006403CB" w14:paraId="460231D8" w14:textId="77777777" w:rsidTr="00192D0C">
        <w:tc>
          <w:tcPr>
            <w:tcW w:w="3142" w:type="dxa"/>
            <w:shd w:val="clear" w:color="auto" w:fill="D0CECE" w:themeFill="background2" w:themeFillShade="E6"/>
          </w:tcPr>
          <w:p w14:paraId="460231D6"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154" w:type="dxa"/>
            <w:gridSpan w:val="5"/>
          </w:tcPr>
          <w:p w14:paraId="460231D7" w14:textId="10C03DC3" w:rsidR="00192D0C" w:rsidRPr="006403CB" w:rsidRDefault="006218A1" w:rsidP="00192D0C">
            <w:pPr>
              <w:rPr>
                <w:rFonts w:asciiTheme="majorHAnsi" w:hAnsiTheme="majorHAnsi" w:cs="Arial"/>
                <w:color w:val="002060"/>
                <w:sz w:val="20"/>
                <w:szCs w:val="20"/>
                <w:lang w:val="en-GB"/>
              </w:rPr>
            </w:pPr>
            <w:r>
              <w:rPr>
                <w:rFonts w:asciiTheme="majorHAnsi" w:hAnsiTheme="majorHAnsi" w:cs="Arial"/>
                <w:color w:val="002060"/>
                <w:sz w:val="20"/>
                <w:szCs w:val="20"/>
                <w:lang w:val="en-GB"/>
              </w:rPr>
              <w:t>Greek</w:t>
            </w:r>
          </w:p>
        </w:tc>
      </w:tr>
      <w:tr w:rsidR="00192D0C" w:rsidRPr="006403CB" w14:paraId="460231DB" w14:textId="77777777" w:rsidTr="00192D0C">
        <w:tc>
          <w:tcPr>
            <w:tcW w:w="3142" w:type="dxa"/>
            <w:shd w:val="clear" w:color="auto" w:fill="D0CECE" w:themeFill="background2" w:themeFillShade="E6"/>
          </w:tcPr>
          <w:p w14:paraId="460231D9" w14:textId="77777777" w:rsidR="00192D0C" w:rsidRPr="006403CB" w:rsidRDefault="00192D0C" w:rsidP="00192D0C">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154" w:type="dxa"/>
            <w:gridSpan w:val="5"/>
          </w:tcPr>
          <w:p w14:paraId="460231DA" w14:textId="4D230A41" w:rsidR="00192D0C" w:rsidRPr="006403CB" w:rsidRDefault="006218A1" w:rsidP="00192D0C">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192D0C" w:rsidRPr="006403CB" w14:paraId="460231DE" w14:textId="77777777" w:rsidTr="00192D0C">
        <w:tc>
          <w:tcPr>
            <w:tcW w:w="3142" w:type="dxa"/>
            <w:shd w:val="clear" w:color="auto" w:fill="D0CECE" w:themeFill="background2" w:themeFillShade="E6"/>
          </w:tcPr>
          <w:p w14:paraId="460231DC"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154" w:type="dxa"/>
            <w:gridSpan w:val="5"/>
          </w:tcPr>
          <w:p w14:paraId="460231DD" w14:textId="2B1676A0" w:rsidR="00192D0C" w:rsidRPr="000F4FF0" w:rsidRDefault="000F4FF0" w:rsidP="000F4FF0">
            <w:pPr>
              <w:rPr>
                <w:rFonts w:asciiTheme="majorHAnsi" w:eastAsia="Calibri" w:hAnsiTheme="majorHAnsi" w:cs="Arial"/>
                <w:color w:val="002060"/>
                <w:sz w:val="20"/>
                <w:szCs w:val="20"/>
                <w:lang w:val="en-GB"/>
              </w:rPr>
            </w:pPr>
            <w:r w:rsidRPr="000F4FF0">
              <w:rPr>
                <w:rFonts w:asciiTheme="majorHAnsi" w:hAnsiTheme="majorHAnsi" w:cs="Arial"/>
                <w:color w:val="002060"/>
                <w:sz w:val="20"/>
                <w:szCs w:val="20"/>
                <w:lang w:val="en-GB"/>
              </w:rPr>
              <w:t>https://aegeanmoodle.aegean.gr/course/view.php?id=3864</w:t>
            </w:r>
            <w:r w:rsidRPr="000F4FF0">
              <w:rPr>
                <w:rFonts w:asciiTheme="majorHAnsi" w:hAnsiTheme="majorHAnsi" w:cs="Arial"/>
                <w:color w:val="002060"/>
                <w:sz w:val="20"/>
                <w:szCs w:val="20"/>
                <w:lang w:val="en-GB"/>
              </w:rPr>
              <w:br/>
              <w:t>2021-2022</w:t>
            </w:r>
          </w:p>
        </w:tc>
      </w:tr>
    </w:tbl>
    <w:p w14:paraId="460231DF"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460231E1" w14:textId="77777777" w:rsidTr="00E30CBA">
        <w:tc>
          <w:tcPr>
            <w:tcW w:w="8472" w:type="dxa"/>
            <w:gridSpan w:val="2"/>
            <w:tcBorders>
              <w:bottom w:val="nil"/>
            </w:tcBorders>
            <w:shd w:val="clear" w:color="auto" w:fill="D0CECE" w:themeFill="background2" w:themeFillShade="E6"/>
          </w:tcPr>
          <w:p w14:paraId="460231E0"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460231E7" w14:textId="77777777" w:rsidTr="00E30CBA">
        <w:tc>
          <w:tcPr>
            <w:tcW w:w="8472" w:type="dxa"/>
            <w:gridSpan w:val="2"/>
            <w:tcBorders>
              <w:top w:val="nil"/>
            </w:tcBorders>
            <w:shd w:val="clear" w:color="auto" w:fill="D0CECE" w:themeFill="background2" w:themeFillShade="E6"/>
          </w:tcPr>
          <w:p w14:paraId="460231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460231E3"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460231E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460231E5"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60231E6"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460231F6" w14:textId="77777777" w:rsidTr="00E30CBA">
        <w:tc>
          <w:tcPr>
            <w:tcW w:w="8472" w:type="dxa"/>
            <w:gridSpan w:val="2"/>
          </w:tcPr>
          <w:p w14:paraId="746BDBB8" w14:textId="77777777" w:rsidR="006C7994" w:rsidRPr="007712D5" w:rsidRDefault="006C7994" w:rsidP="006C7994">
            <w:pPr>
              <w:widowControl w:val="0"/>
              <w:autoSpaceDE w:val="0"/>
              <w:autoSpaceDN w:val="0"/>
              <w:adjustRightInd w:val="0"/>
              <w:rPr>
                <w:rFonts w:ascii="Calibri" w:eastAsia="Calibri" w:hAnsi="Calibri"/>
                <w:color w:val="002060"/>
                <w:sz w:val="20"/>
              </w:rPr>
            </w:pPr>
            <w:r w:rsidRPr="007712D5">
              <w:rPr>
                <w:rFonts w:ascii="Calibri" w:eastAsia="Calibri" w:hAnsi="Calibri"/>
                <w:color w:val="002060"/>
                <w:sz w:val="20"/>
              </w:rPr>
              <w:t>The students are expected to:</w:t>
            </w:r>
          </w:p>
          <w:p w14:paraId="460231EA" w14:textId="77777777" w:rsidR="006A5903" w:rsidRDefault="006A5903" w:rsidP="006A5903">
            <w:pPr>
              <w:widowControl w:val="0"/>
              <w:autoSpaceDE w:val="0"/>
              <w:autoSpaceDN w:val="0"/>
              <w:adjustRightInd w:val="0"/>
              <w:rPr>
                <w:rFonts w:ascii="Calibri" w:eastAsia="Calibri" w:hAnsi="Calibri"/>
                <w:b/>
                <w:color w:val="002060"/>
              </w:rPr>
            </w:pPr>
          </w:p>
          <w:p w14:paraId="5AFD098B" w14:textId="77777777"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know informational media and their educational role</w:t>
            </w:r>
          </w:p>
          <w:p w14:paraId="38640FBC" w14:textId="190DE7F5"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xml:space="preserve">• develop </w:t>
            </w:r>
            <w:r>
              <w:rPr>
                <w:rFonts w:ascii="Calibri" w:eastAsia="Calibri" w:hAnsi="Calibri"/>
                <w:bCs/>
                <w:color w:val="002060"/>
                <w:sz w:val="20"/>
                <w:szCs w:val="20"/>
              </w:rPr>
              <w:t xml:space="preserve">educational </w:t>
            </w:r>
            <w:r w:rsidRPr="00D92872">
              <w:rPr>
                <w:rFonts w:ascii="Calibri" w:eastAsia="Calibri" w:hAnsi="Calibri"/>
                <w:bCs/>
                <w:color w:val="002060"/>
                <w:sz w:val="20"/>
                <w:szCs w:val="20"/>
              </w:rPr>
              <w:t>media processing skills</w:t>
            </w:r>
          </w:p>
          <w:p w14:paraId="71BC6AE6" w14:textId="77777777"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develop the ability to design and develop simple technological educational applications</w:t>
            </w:r>
          </w:p>
          <w:p w14:paraId="645DDDF5" w14:textId="77777777"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develop the ability to evaluate educational digital applications</w:t>
            </w:r>
          </w:p>
          <w:p w14:paraId="0018E922" w14:textId="0FEC9D34"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develop the ability to integrate ICT in teaching</w:t>
            </w:r>
            <w:r>
              <w:rPr>
                <w:rFonts w:ascii="Calibri" w:eastAsia="Calibri" w:hAnsi="Calibri"/>
                <w:bCs/>
                <w:color w:val="002060"/>
                <w:sz w:val="20"/>
                <w:szCs w:val="20"/>
              </w:rPr>
              <w:t xml:space="preserve"> and learning – </w:t>
            </w:r>
            <w:r w:rsidR="00013F43">
              <w:rPr>
                <w:rFonts w:ascii="Calibri" w:eastAsia="Calibri" w:hAnsi="Calibri"/>
                <w:bCs/>
                <w:color w:val="002060"/>
                <w:sz w:val="20"/>
                <w:szCs w:val="20"/>
              </w:rPr>
              <w:t>Technology</w:t>
            </w:r>
            <w:r>
              <w:rPr>
                <w:rFonts w:ascii="Calibri" w:eastAsia="Calibri" w:hAnsi="Calibri"/>
                <w:bCs/>
                <w:color w:val="002060"/>
                <w:sz w:val="20"/>
                <w:szCs w:val="20"/>
              </w:rPr>
              <w:t xml:space="preserve"> En</w:t>
            </w:r>
            <w:r w:rsidR="00013F43">
              <w:rPr>
                <w:rFonts w:ascii="Calibri" w:eastAsia="Calibri" w:hAnsi="Calibri"/>
                <w:bCs/>
                <w:color w:val="002060"/>
                <w:sz w:val="20"/>
                <w:szCs w:val="20"/>
              </w:rPr>
              <w:t xml:space="preserve">hanced Education </w:t>
            </w:r>
          </w:p>
          <w:p w14:paraId="56B46AC2" w14:textId="77777777"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develop capacity to access and utilize educational research</w:t>
            </w:r>
          </w:p>
          <w:p w14:paraId="6270712A" w14:textId="5C0CCFBA"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know about current developments in digital books</w:t>
            </w:r>
            <w:r w:rsidR="00013F43">
              <w:rPr>
                <w:rFonts w:ascii="Calibri" w:eastAsia="Calibri" w:hAnsi="Calibri"/>
                <w:bCs/>
                <w:color w:val="002060"/>
                <w:sz w:val="20"/>
                <w:szCs w:val="20"/>
              </w:rPr>
              <w:t xml:space="preserve"> and textbooks</w:t>
            </w:r>
          </w:p>
          <w:p w14:paraId="0EB233D3" w14:textId="1C67F199" w:rsidR="00D92872" w:rsidRPr="00D92872" w:rsidRDefault="00D92872" w:rsidP="00D92872">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xml:space="preserve">• leverage interactive digital storytelling, Artificial </w:t>
            </w:r>
            <w:r w:rsidR="009B128B" w:rsidRPr="00D92872">
              <w:rPr>
                <w:rFonts w:ascii="Calibri" w:eastAsia="Calibri" w:hAnsi="Calibri"/>
                <w:bCs/>
                <w:color w:val="002060"/>
                <w:sz w:val="20"/>
                <w:szCs w:val="20"/>
              </w:rPr>
              <w:t>Intelligence,</w:t>
            </w:r>
            <w:r w:rsidRPr="00D92872">
              <w:rPr>
                <w:rFonts w:ascii="Calibri" w:eastAsia="Calibri" w:hAnsi="Calibri"/>
                <w:bCs/>
                <w:color w:val="002060"/>
                <w:sz w:val="20"/>
                <w:szCs w:val="20"/>
              </w:rPr>
              <w:t xml:space="preserve"> and digital games in education</w:t>
            </w:r>
          </w:p>
          <w:p w14:paraId="08E1DDF6" w14:textId="6C4D8C7A" w:rsidR="00CC1EC5" w:rsidRDefault="00D92872" w:rsidP="009B128B">
            <w:pPr>
              <w:widowControl w:val="0"/>
              <w:autoSpaceDE w:val="0"/>
              <w:autoSpaceDN w:val="0"/>
              <w:adjustRightInd w:val="0"/>
              <w:rPr>
                <w:rFonts w:ascii="Calibri" w:eastAsia="Calibri" w:hAnsi="Calibri"/>
                <w:bCs/>
                <w:color w:val="002060"/>
                <w:sz w:val="20"/>
                <w:szCs w:val="20"/>
              </w:rPr>
            </w:pPr>
            <w:r w:rsidRPr="00D92872">
              <w:rPr>
                <w:rFonts w:ascii="Calibri" w:eastAsia="Calibri" w:hAnsi="Calibri"/>
                <w:bCs/>
                <w:color w:val="002060"/>
                <w:sz w:val="20"/>
                <w:szCs w:val="20"/>
              </w:rPr>
              <w:t>• design digital educational material in any type of educational environment (</w:t>
            </w:r>
            <w:r w:rsidR="009B128B">
              <w:rPr>
                <w:rFonts w:ascii="Calibri" w:eastAsia="Calibri" w:hAnsi="Calibri"/>
                <w:bCs/>
                <w:color w:val="002060"/>
                <w:sz w:val="20"/>
                <w:szCs w:val="20"/>
              </w:rPr>
              <w:t>in person</w:t>
            </w:r>
            <w:r w:rsidRPr="00D92872">
              <w:rPr>
                <w:rFonts w:ascii="Calibri" w:eastAsia="Calibri" w:hAnsi="Calibri"/>
                <w:bCs/>
                <w:color w:val="002060"/>
                <w:sz w:val="20"/>
                <w:szCs w:val="20"/>
              </w:rPr>
              <w:t>, online, on-the-go learning)</w:t>
            </w:r>
          </w:p>
          <w:p w14:paraId="460231F5" w14:textId="5EF3BC29" w:rsidR="009B128B" w:rsidRPr="006403CB" w:rsidRDefault="009B128B" w:rsidP="009B128B">
            <w:pPr>
              <w:widowControl w:val="0"/>
              <w:autoSpaceDE w:val="0"/>
              <w:autoSpaceDN w:val="0"/>
              <w:adjustRightInd w:val="0"/>
              <w:rPr>
                <w:rFonts w:asciiTheme="majorHAnsi" w:hAnsiTheme="majorHAnsi" w:cs="Arial"/>
                <w:i/>
                <w:sz w:val="16"/>
                <w:szCs w:val="16"/>
                <w:lang w:val="en-GB"/>
              </w:rPr>
            </w:pPr>
          </w:p>
        </w:tc>
      </w:tr>
      <w:tr w:rsidR="00CC1EC5" w:rsidRPr="006403CB" w14:paraId="460231F8"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460231F7"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t xml:space="preserve">General Competences </w:t>
            </w:r>
          </w:p>
        </w:tc>
      </w:tr>
      <w:tr w:rsidR="00CC1EC5" w:rsidRPr="006403CB" w14:paraId="460231FA" w14:textId="77777777" w:rsidTr="00E30CBA">
        <w:tc>
          <w:tcPr>
            <w:tcW w:w="8472" w:type="dxa"/>
            <w:gridSpan w:val="2"/>
            <w:tcBorders>
              <w:top w:val="nil"/>
              <w:bottom w:val="nil"/>
            </w:tcBorders>
            <w:shd w:val="clear" w:color="auto" w:fill="D0CECE" w:themeFill="background2" w:themeFillShade="E6"/>
          </w:tcPr>
          <w:p w14:paraId="460231F9"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 xml:space="preserve">Taking into consideration the general competences that the degree-holder must acquire (as these appear in the Diploma </w:t>
            </w:r>
            <w:r w:rsidRPr="006403CB">
              <w:rPr>
                <w:rFonts w:asciiTheme="majorHAnsi" w:hAnsiTheme="majorHAnsi" w:cs="Arial"/>
                <w:i/>
                <w:sz w:val="16"/>
                <w:szCs w:val="16"/>
                <w:lang w:val="en-GB"/>
              </w:rPr>
              <w:lastRenderedPageBreak/>
              <w:t>Supplement and appear below), at which of the following does the course aim?</w:t>
            </w:r>
          </w:p>
        </w:tc>
      </w:tr>
      <w:tr w:rsidR="00CC1EC5" w:rsidRPr="006403CB" w14:paraId="4602320C"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460231F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Search for, analysis and synthesis of data and information, with the use of the necessary technology </w:t>
            </w:r>
          </w:p>
          <w:p w14:paraId="460231F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60231F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460231F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460231F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proofErr w:type="gramStart"/>
            <w:r w:rsidRPr="006403CB">
              <w:rPr>
                <w:rFonts w:asciiTheme="majorHAnsi" w:hAnsiTheme="majorHAnsi" w:cs="Arial"/>
                <w:i/>
                <w:sz w:val="16"/>
                <w:szCs w:val="16"/>
                <w:lang w:val="en-GB"/>
              </w:rPr>
              <w:t>Team work</w:t>
            </w:r>
            <w:proofErr w:type="gramEnd"/>
          </w:p>
          <w:p w14:paraId="4602320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46023201"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602320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4602320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4602320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4602320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4602320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4602320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6023208"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46023209"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4602320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4602320B"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4602321A" w14:textId="77777777" w:rsidTr="00E30CBA">
        <w:tc>
          <w:tcPr>
            <w:tcW w:w="8472" w:type="dxa"/>
            <w:gridSpan w:val="2"/>
            <w:tcBorders>
              <w:bottom w:val="single" w:sz="4" w:space="0" w:color="auto"/>
            </w:tcBorders>
          </w:tcPr>
          <w:p w14:paraId="59F27240" w14:textId="77777777" w:rsidR="00447984" w:rsidRPr="00E3387E" w:rsidRDefault="00447984" w:rsidP="00447984">
            <w:pPr>
              <w:pStyle w:val="a3"/>
              <w:widowControl w:val="0"/>
              <w:numPr>
                <w:ilvl w:val="0"/>
                <w:numId w:val="3"/>
              </w:numPr>
              <w:autoSpaceDE w:val="0"/>
              <w:autoSpaceDN w:val="0"/>
              <w:adjustRightInd w:val="0"/>
              <w:spacing w:before="240"/>
              <w:rPr>
                <w:rFonts w:ascii="Calibri" w:eastAsia="Calibri" w:hAnsi="Calibri"/>
                <w:color w:val="002060"/>
                <w:sz w:val="20"/>
              </w:rPr>
            </w:pPr>
            <w:r w:rsidRPr="00E3387E">
              <w:rPr>
                <w:rFonts w:ascii="Calibri" w:eastAsia="Calibri" w:hAnsi="Calibri"/>
                <w:color w:val="002060"/>
                <w:sz w:val="20"/>
              </w:rPr>
              <w:t xml:space="preserve">Search for, analysis and synthesis of data and information, with the use of the necessary technology </w:t>
            </w:r>
          </w:p>
          <w:p w14:paraId="4515E248"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r w:rsidRPr="00E3387E">
              <w:rPr>
                <w:rFonts w:ascii="Calibri" w:eastAsia="Calibri" w:hAnsi="Calibri"/>
                <w:color w:val="002060"/>
                <w:sz w:val="20"/>
              </w:rPr>
              <w:t xml:space="preserve">Adapting to new situations </w:t>
            </w:r>
          </w:p>
          <w:p w14:paraId="7396C69C"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r w:rsidRPr="00E3387E">
              <w:rPr>
                <w:rFonts w:ascii="Calibri" w:eastAsia="Calibri" w:hAnsi="Calibri"/>
                <w:color w:val="002060"/>
                <w:sz w:val="20"/>
              </w:rPr>
              <w:t xml:space="preserve">Decision-making </w:t>
            </w:r>
          </w:p>
          <w:p w14:paraId="7A4E426F"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r w:rsidRPr="00E3387E">
              <w:rPr>
                <w:rFonts w:ascii="Calibri" w:eastAsia="Calibri" w:hAnsi="Calibri"/>
                <w:color w:val="002060"/>
                <w:sz w:val="20"/>
              </w:rPr>
              <w:t xml:space="preserve">Working independently </w:t>
            </w:r>
          </w:p>
          <w:p w14:paraId="27578E97"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proofErr w:type="gramStart"/>
            <w:r w:rsidRPr="00E3387E">
              <w:rPr>
                <w:rFonts w:ascii="Calibri" w:eastAsia="Calibri" w:hAnsi="Calibri"/>
                <w:color w:val="002060"/>
                <w:sz w:val="20"/>
              </w:rPr>
              <w:t>Team work</w:t>
            </w:r>
            <w:proofErr w:type="gramEnd"/>
          </w:p>
          <w:p w14:paraId="650610D8"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r w:rsidRPr="00E3387E">
              <w:rPr>
                <w:rFonts w:ascii="Calibri" w:eastAsia="Calibri" w:hAnsi="Calibri"/>
                <w:color w:val="002060"/>
                <w:sz w:val="20"/>
              </w:rPr>
              <w:t>Project planning and management</w:t>
            </w:r>
          </w:p>
          <w:p w14:paraId="34C10E14"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r w:rsidRPr="00E3387E">
              <w:rPr>
                <w:rFonts w:ascii="Calibri" w:eastAsia="Calibri" w:hAnsi="Calibri"/>
                <w:color w:val="002060"/>
                <w:sz w:val="20"/>
              </w:rPr>
              <w:t xml:space="preserve">Showing social, professional and ethical responsibility and sensitivity to gender issues </w:t>
            </w:r>
          </w:p>
          <w:p w14:paraId="6D45E669" w14:textId="77777777" w:rsidR="00447984" w:rsidRPr="00E3387E" w:rsidRDefault="00447984" w:rsidP="00447984">
            <w:pPr>
              <w:pStyle w:val="a3"/>
              <w:widowControl w:val="0"/>
              <w:numPr>
                <w:ilvl w:val="0"/>
                <w:numId w:val="3"/>
              </w:numPr>
              <w:autoSpaceDE w:val="0"/>
              <w:autoSpaceDN w:val="0"/>
              <w:adjustRightInd w:val="0"/>
              <w:rPr>
                <w:rFonts w:ascii="Calibri" w:eastAsia="Calibri" w:hAnsi="Calibri"/>
                <w:color w:val="002060"/>
                <w:sz w:val="20"/>
              </w:rPr>
            </w:pPr>
            <w:r w:rsidRPr="00E3387E">
              <w:rPr>
                <w:rFonts w:ascii="Calibri" w:eastAsia="Calibri" w:hAnsi="Calibri"/>
                <w:color w:val="002060"/>
                <w:sz w:val="20"/>
              </w:rPr>
              <w:t xml:space="preserve">Criticism and self-criticism </w:t>
            </w:r>
          </w:p>
          <w:p w14:paraId="46023217" w14:textId="5C109073" w:rsidR="006A5903" w:rsidRPr="003725DA" w:rsidRDefault="00447984" w:rsidP="006A5903">
            <w:pPr>
              <w:pStyle w:val="a3"/>
              <w:widowControl w:val="0"/>
              <w:numPr>
                <w:ilvl w:val="0"/>
                <w:numId w:val="3"/>
              </w:numPr>
              <w:autoSpaceDE w:val="0"/>
              <w:autoSpaceDN w:val="0"/>
              <w:adjustRightInd w:val="0"/>
              <w:rPr>
                <w:rFonts w:ascii="Calibri" w:eastAsia="Calibri" w:hAnsi="Calibri"/>
                <w:color w:val="002060"/>
              </w:rPr>
            </w:pPr>
            <w:r w:rsidRPr="003725DA">
              <w:rPr>
                <w:rFonts w:ascii="Calibri" w:eastAsia="Calibri" w:hAnsi="Calibri"/>
                <w:color w:val="002060"/>
                <w:sz w:val="20"/>
              </w:rPr>
              <w:t>Production of free, creative</w:t>
            </w:r>
            <w:r w:rsidR="007D0747">
              <w:rPr>
                <w:rFonts w:ascii="Calibri" w:eastAsia="Calibri" w:hAnsi="Calibri"/>
                <w:color w:val="002060"/>
                <w:sz w:val="20"/>
              </w:rPr>
              <w:t xml:space="preserve">, critical and </w:t>
            </w:r>
            <w:r w:rsidR="007D0747" w:rsidRPr="007D0747">
              <w:rPr>
                <w:rFonts w:ascii="Calibri" w:eastAsia="Calibri" w:hAnsi="Calibri"/>
                <w:color w:val="002060"/>
                <w:sz w:val="20"/>
              </w:rPr>
              <w:t>inductive</w:t>
            </w:r>
            <w:r w:rsidRPr="003725DA">
              <w:rPr>
                <w:rFonts w:ascii="Calibri" w:eastAsia="Calibri" w:hAnsi="Calibri"/>
                <w:color w:val="002060"/>
                <w:sz w:val="20"/>
              </w:rPr>
              <w:t xml:space="preserve"> thinking</w:t>
            </w:r>
          </w:p>
          <w:p w14:paraId="46023219"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4602321B"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46023232" w14:textId="77777777" w:rsidTr="00E30CBA">
        <w:tc>
          <w:tcPr>
            <w:tcW w:w="8472" w:type="dxa"/>
          </w:tcPr>
          <w:p w14:paraId="46023231" w14:textId="68B803F2" w:rsidR="000860FB" w:rsidRPr="000860FB" w:rsidRDefault="001308F7" w:rsidP="000860FB">
            <w:pPr>
              <w:spacing w:before="240"/>
              <w:jc w:val="both"/>
              <w:rPr>
                <w:rFonts w:ascii="Calibri" w:eastAsia="Calibri" w:hAnsi="Calibri"/>
                <w:iCs/>
                <w:color w:val="002060"/>
                <w:sz w:val="20"/>
              </w:rPr>
            </w:pPr>
            <w:r w:rsidRPr="00185129">
              <w:rPr>
                <w:rFonts w:ascii="Calibri" w:eastAsia="Calibri" w:hAnsi="Calibri"/>
                <w:iCs/>
                <w:color w:val="002060"/>
                <w:sz w:val="20"/>
              </w:rPr>
              <w:t>In this course, students deal with the basic elements of multimedia applications (text, image, sound, video, etc.) as well as with the design and development of multimedia educational applications. At the same time, emphasis is placed on the topic of e-books and online educational environments and applications. The applications of Artificial Intelligence are included while digital interactive storytelling is a central type of material that synthesizes several of the rest and connects them to serious games. In addition, the course provides familiarity with the production of digital content on the internet as well as the planning of activities for the use of digital content in learning. Finally, in the context of the course, there is an in-depth investigation into the categories of educational applications of ICT, and with the body of research works concerning the educational utilization of technological applications in education. The purpose of the course is to enable students to: design and implement simple applications, evaluate ready-made ICT applications and integrate ICT into teaching to better achieve educational goals.</w:t>
            </w:r>
          </w:p>
        </w:tc>
      </w:tr>
    </w:tbl>
    <w:p w14:paraId="46023234" w14:textId="767C49BB" w:rsidR="00CC1EC5" w:rsidRPr="006403CB" w:rsidRDefault="00CC1EC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46023237" w14:textId="77777777" w:rsidTr="00E30CBA">
        <w:tc>
          <w:tcPr>
            <w:tcW w:w="3306" w:type="dxa"/>
            <w:shd w:val="clear" w:color="auto" w:fill="D0CECE" w:themeFill="background2" w:themeFillShade="E6"/>
          </w:tcPr>
          <w:p w14:paraId="46023235"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46023236" w14:textId="3CED3738" w:rsidR="00CC1EC5" w:rsidRPr="006403CB" w:rsidRDefault="00ED4634" w:rsidP="0058566F">
            <w:pPr>
              <w:spacing w:before="240"/>
              <w:jc w:val="both"/>
              <w:rPr>
                <w:rFonts w:asciiTheme="majorHAnsi" w:eastAsia="Calibri" w:hAnsiTheme="majorHAnsi"/>
                <w:iCs/>
                <w:color w:val="002060"/>
                <w:lang w:val="en-GB"/>
              </w:rPr>
            </w:pPr>
            <w:r w:rsidRPr="00ED4634">
              <w:rPr>
                <w:rFonts w:ascii="Calibri" w:eastAsia="Calibri" w:hAnsi="Calibri"/>
                <w:iCs/>
                <w:color w:val="002060"/>
                <w:sz w:val="20"/>
              </w:rPr>
              <w:t xml:space="preserve">Teaching is done face-to-face, or online, with synchronous video conferencing or asynchronous teaching sessions. In addition, </w:t>
            </w:r>
            <w:r w:rsidR="0058566F" w:rsidRPr="0058566F">
              <w:rPr>
                <w:rFonts w:ascii="Calibri" w:eastAsia="Calibri" w:hAnsi="Calibri"/>
                <w:iCs/>
                <w:color w:val="002060"/>
                <w:sz w:val="20"/>
              </w:rPr>
              <w:t xml:space="preserve">there is use of an Online Learning Management System (Moodle) based on the blended learning model for communication, sharing educational materials, collaboration, task assignment and course management. In the meetings for the teaching of the course, a variety of teaching methods are used </w:t>
            </w:r>
            <w:proofErr w:type="gramStart"/>
            <w:r w:rsidR="0058566F" w:rsidRPr="0058566F">
              <w:rPr>
                <w:rFonts w:ascii="Calibri" w:eastAsia="Calibri" w:hAnsi="Calibri"/>
                <w:iCs/>
                <w:color w:val="002060"/>
                <w:sz w:val="20"/>
              </w:rPr>
              <w:t>such as:</w:t>
            </w:r>
            <w:proofErr w:type="gramEnd"/>
            <w:r w:rsidR="0058566F" w:rsidRPr="0058566F">
              <w:rPr>
                <w:rFonts w:ascii="Calibri" w:eastAsia="Calibri" w:hAnsi="Calibri"/>
                <w:iCs/>
                <w:color w:val="002060"/>
                <w:sz w:val="20"/>
              </w:rPr>
              <w:t xml:space="preserve"> lecture, work in groups, workshops, discussions, group investigations, etc.</w:t>
            </w:r>
          </w:p>
        </w:tc>
      </w:tr>
      <w:tr w:rsidR="00CC1EC5" w:rsidRPr="006403CB" w14:paraId="4602323A" w14:textId="77777777" w:rsidTr="00E30CBA">
        <w:tc>
          <w:tcPr>
            <w:tcW w:w="3306" w:type="dxa"/>
            <w:shd w:val="clear" w:color="auto" w:fill="D0CECE" w:themeFill="background2" w:themeFillShade="E6"/>
          </w:tcPr>
          <w:p w14:paraId="46023238"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46023239" w14:textId="72F9D2FD" w:rsidR="00CC1EC5" w:rsidRPr="006403CB" w:rsidRDefault="00FA4DC1" w:rsidP="00E30CBA">
            <w:pPr>
              <w:rPr>
                <w:rFonts w:asciiTheme="majorHAnsi" w:hAnsiTheme="majorHAnsi" w:cs="Arial"/>
                <w:b/>
                <w:color w:val="002060"/>
                <w:sz w:val="20"/>
                <w:szCs w:val="20"/>
                <w:lang w:val="en-GB"/>
              </w:rPr>
            </w:pPr>
            <w:r w:rsidRPr="00E3387E">
              <w:rPr>
                <w:rFonts w:asciiTheme="minorHAnsi" w:eastAsia="Calibri" w:hAnsiTheme="minorHAnsi" w:cstheme="minorHAnsi"/>
                <w:iCs/>
                <w:color w:val="002060"/>
                <w:sz w:val="20"/>
                <w:lang w:val="en-GB"/>
              </w:rPr>
              <w:t xml:space="preserve">Apart from the use of ICT as a presentation and productivity tool by teachers and students in the context of the course use special educational software (e.g. microworlds, serious games) in addition the students produce their own educational hypermedia, educational software, learning objects, learning scenarios, </w:t>
            </w:r>
            <w:proofErr w:type="gramStart"/>
            <w:r w:rsidRPr="00E3387E">
              <w:rPr>
                <w:rFonts w:asciiTheme="minorHAnsi" w:eastAsia="Calibri" w:hAnsiTheme="minorHAnsi" w:cstheme="minorHAnsi"/>
                <w:iCs/>
                <w:color w:val="002060"/>
                <w:sz w:val="20"/>
                <w:lang w:val="en-GB"/>
              </w:rPr>
              <w:t>and  e</w:t>
            </w:r>
            <w:proofErr w:type="gramEnd"/>
            <w:r w:rsidRPr="00E3387E">
              <w:rPr>
                <w:rFonts w:asciiTheme="minorHAnsi" w:eastAsia="Calibri" w:hAnsiTheme="minorHAnsi" w:cstheme="minorHAnsi"/>
                <w:iCs/>
                <w:color w:val="002060"/>
                <w:sz w:val="20"/>
                <w:lang w:val="en-GB"/>
              </w:rPr>
              <w:t>-learning applications.</w:t>
            </w:r>
          </w:p>
        </w:tc>
      </w:tr>
      <w:tr w:rsidR="00CC1EC5" w:rsidRPr="006403CB" w14:paraId="46023262" w14:textId="77777777" w:rsidTr="00E30CBA">
        <w:tc>
          <w:tcPr>
            <w:tcW w:w="3306" w:type="dxa"/>
            <w:shd w:val="clear" w:color="auto" w:fill="D0CECE" w:themeFill="background2" w:themeFillShade="E6"/>
          </w:tcPr>
          <w:p w14:paraId="4602323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4602323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lastRenderedPageBreak/>
              <w:t>The manner and methods of teaching are described in detail.</w:t>
            </w:r>
          </w:p>
          <w:p w14:paraId="4602323D"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4602323E" w14:textId="77777777" w:rsidR="00CC1EC5" w:rsidRPr="006403CB" w:rsidRDefault="00CC1EC5" w:rsidP="00E30CBA">
            <w:pPr>
              <w:jc w:val="both"/>
              <w:rPr>
                <w:rFonts w:asciiTheme="majorHAnsi" w:hAnsiTheme="majorHAnsi" w:cs="Arial"/>
                <w:i/>
                <w:sz w:val="16"/>
                <w:szCs w:val="16"/>
                <w:lang w:val="en-GB"/>
              </w:rPr>
            </w:pPr>
          </w:p>
          <w:p w14:paraId="4602323F"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FE41FE" w14:paraId="46023242" w14:textId="77777777" w:rsidTr="00E30CBA">
              <w:tc>
                <w:tcPr>
                  <w:tcW w:w="2467" w:type="dxa"/>
                  <w:shd w:val="clear" w:color="auto" w:fill="D0CECE" w:themeFill="background2" w:themeFillShade="E6"/>
                  <w:vAlign w:val="center"/>
                </w:tcPr>
                <w:p w14:paraId="46023240" w14:textId="77777777" w:rsidR="00CC1EC5" w:rsidRPr="00FE41FE" w:rsidRDefault="00CC1EC5"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lastRenderedPageBreak/>
                    <w:t>Activity</w:t>
                  </w:r>
                </w:p>
              </w:tc>
              <w:tc>
                <w:tcPr>
                  <w:tcW w:w="2468" w:type="dxa"/>
                  <w:shd w:val="clear" w:color="auto" w:fill="D0CECE" w:themeFill="background2" w:themeFillShade="E6"/>
                  <w:vAlign w:val="center"/>
                </w:tcPr>
                <w:p w14:paraId="46023241" w14:textId="77777777" w:rsidR="00CC1EC5" w:rsidRPr="00FE41FE" w:rsidRDefault="00CC1EC5"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Semester workload</w:t>
                  </w:r>
                </w:p>
              </w:tc>
            </w:tr>
            <w:tr w:rsidR="000B535C" w:rsidRPr="00FE41FE" w14:paraId="46023245" w14:textId="77777777" w:rsidTr="00E30CBA">
              <w:tc>
                <w:tcPr>
                  <w:tcW w:w="2467" w:type="dxa"/>
                </w:tcPr>
                <w:p w14:paraId="46023243" w14:textId="4A4E58C0" w:rsidR="000B535C" w:rsidRPr="00ED64F7" w:rsidRDefault="00ED64F7" w:rsidP="00FE41FE">
                  <w:pPr>
                    <w:rPr>
                      <w:rFonts w:asciiTheme="minorHAnsi" w:eastAsia="Calibri" w:hAnsiTheme="minorHAnsi" w:cstheme="minorHAnsi"/>
                      <w:iCs/>
                      <w:color w:val="002060"/>
                      <w:sz w:val="20"/>
                    </w:rPr>
                  </w:pPr>
                  <w:r>
                    <w:rPr>
                      <w:rFonts w:asciiTheme="minorHAnsi" w:eastAsia="Calibri" w:hAnsiTheme="minorHAnsi" w:cstheme="minorHAnsi"/>
                      <w:iCs/>
                      <w:color w:val="002060"/>
                      <w:sz w:val="20"/>
                    </w:rPr>
                    <w:lastRenderedPageBreak/>
                    <w:t>Teaching lectures</w:t>
                  </w:r>
                </w:p>
              </w:tc>
              <w:tc>
                <w:tcPr>
                  <w:tcW w:w="2468" w:type="dxa"/>
                </w:tcPr>
                <w:p w14:paraId="46023244" w14:textId="47B8F129" w:rsidR="000B535C" w:rsidRPr="00FE41FE" w:rsidRDefault="00151291"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3</w:t>
                  </w:r>
                  <w:r w:rsidR="00ED64F7">
                    <w:rPr>
                      <w:rFonts w:asciiTheme="minorHAnsi" w:eastAsia="Calibri" w:hAnsiTheme="minorHAnsi" w:cstheme="minorHAnsi"/>
                      <w:iCs/>
                      <w:color w:val="002060"/>
                      <w:sz w:val="20"/>
                      <w:lang w:val="el-GR"/>
                    </w:rPr>
                    <w:t>9</w:t>
                  </w:r>
                  <w:r w:rsidRPr="00FE41FE">
                    <w:rPr>
                      <w:rFonts w:asciiTheme="minorHAnsi" w:eastAsia="Calibri" w:hAnsiTheme="minorHAnsi" w:cstheme="minorHAnsi"/>
                      <w:iCs/>
                      <w:color w:val="002060"/>
                      <w:sz w:val="20"/>
                      <w:lang w:val="en-GB"/>
                    </w:rPr>
                    <w:t xml:space="preserve"> Hours</w:t>
                  </w:r>
                </w:p>
              </w:tc>
            </w:tr>
            <w:tr w:rsidR="000B535C" w:rsidRPr="00FE41FE" w14:paraId="46023248" w14:textId="77777777" w:rsidTr="00E30CBA">
              <w:tc>
                <w:tcPr>
                  <w:tcW w:w="2467" w:type="dxa"/>
                </w:tcPr>
                <w:p w14:paraId="46023246" w14:textId="6774D1B5" w:rsidR="000B535C" w:rsidRPr="00FE41FE" w:rsidRDefault="006318CB"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Examination</w:t>
                  </w:r>
                  <w:r w:rsidR="006E30C1" w:rsidRPr="00FE41FE">
                    <w:rPr>
                      <w:rFonts w:asciiTheme="minorHAnsi" w:eastAsia="Calibri" w:hAnsiTheme="minorHAnsi" w:cstheme="minorHAnsi"/>
                      <w:iCs/>
                      <w:color w:val="002060"/>
                      <w:sz w:val="20"/>
                      <w:lang w:val="en-GB"/>
                    </w:rPr>
                    <w:t>-presentation</w:t>
                  </w:r>
                  <w:r w:rsidRPr="00FE41FE">
                    <w:rPr>
                      <w:rFonts w:asciiTheme="minorHAnsi" w:eastAsia="Calibri" w:hAnsiTheme="minorHAnsi" w:cstheme="minorHAnsi"/>
                      <w:iCs/>
                      <w:color w:val="002060"/>
                      <w:sz w:val="20"/>
                      <w:lang w:val="en-GB"/>
                    </w:rPr>
                    <w:t xml:space="preserve"> of final projects</w:t>
                  </w:r>
                </w:p>
              </w:tc>
              <w:tc>
                <w:tcPr>
                  <w:tcW w:w="2468" w:type="dxa"/>
                </w:tcPr>
                <w:p w14:paraId="46023247" w14:textId="316D56CC"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3 Hours</w:t>
                  </w:r>
                </w:p>
              </w:tc>
            </w:tr>
            <w:tr w:rsidR="000B535C" w:rsidRPr="00FE41FE" w14:paraId="4602324B" w14:textId="77777777" w:rsidTr="00E30CBA">
              <w:tc>
                <w:tcPr>
                  <w:tcW w:w="2467" w:type="dxa"/>
                </w:tcPr>
                <w:p w14:paraId="46023249" w14:textId="37BC8313" w:rsidR="000B535C" w:rsidRPr="00FE41FE" w:rsidRDefault="004230EF"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Study and analysis of sources and literature</w:t>
                  </w:r>
                </w:p>
              </w:tc>
              <w:tc>
                <w:tcPr>
                  <w:tcW w:w="2468" w:type="dxa"/>
                </w:tcPr>
                <w:p w14:paraId="4602324A" w14:textId="32F15C72"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55 Hours</w:t>
                  </w:r>
                </w:p>
              </w:tc>
            </w:tr>
            <w:tr w:rsidR="000B535C" w:rsidRPr="00FE41FE" w14:paraId="4602324E" w14:textId="77777777" w:rsidTr="00E30CBA">
              <w:tc>
                <w:tcPr>
                  <w:tcW w:w="2467" w:type="dxa"/>
                </w:tcPr>
                <w:p w14:paraId="4602324C" w14:textId="6BF57349" w:rsidR="000B535C" w:rsidRPr="00FE41FE" w:rsidRDefault="00A761FD"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Study and work (Project/essay writing/Small-scale research, etc.) as part of the final assessment for the course.</w:t>
                  </w:r>
                </w:p>
              </w:tc>
              <w:tc>
                <w:tcPr>
                  <w:tcW w:w="2468" w:type="dxa"/>
                </w:tcPr>
                <w:p w14:paraId="4602324D" w14:textId="6325A378"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5</w:t>
                  </w:r>
                  <w:r w:rsidR="00ED64F7">
                    <w:rPr>
                      <w:rFonts w:asciiTheme="minorHAnsi" w:eastAsia="Calibri" w:hAnsiTheme="minorHAnsi" w:cstheme="minorHAnsi"/>
                      <w:iCs/>
                      <w:color w:val="002060"/>
                      <w:sz w:val="20"/>
                      <w:lang w:val="el-GR"/>
                    </w:rPr>
                    <w:t>3</w:t>
                  </w:r>
                  <w:r w:rsidRPr="00FE41FE">
                    <w:rPr>
                      <w:rFonts w:asciiTheme="minorHAnsi" w:eastAsia="Calibri" w:hAnsiTheme="minorHAnsi" w:cstheme="minorHAnsi"/>
                      <w:iCs/>
                      <w:color w:val="002060"/>
                      <w:sz w:val="20"/>
                      <w:lang w:val="en-GB"/>
                    </w:rPr>
                    <w:t xml:space="preserve"> Hours</w:t>
                  </w:r>
                </w:p>
              </w:tc>
            </w:tr>
            <w:tr w:rsidR="000B535C" w:rsidRPr="00FE41FE" w14:paraId="46023260" w14:textId="77777777" w:rsidTr="00E30CBA">
              <w:tc>
                <w:tcPr>
                  <w:tcW w:w="2467" w:type="dxa"/>
                </w:tcPr>
                <w:p w14:paraId="4602325E" w14:textId="77777777" w:rsidR="000B535C" w:rsidRPr="00FE41FE" w:rsidRDefault="000B535C"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 xml:space="preserve">Course total </w:t>
                  </w:r>
                </w:p>
              </w:tc>
              <w:tc>
                <w:tcPr>
                  <w:tcW w:w="2468" w:type="dxa"/>
                  <w:vAlign w:val="center"/>
                </w:tcPr>
                <w:p w14:paraId="4602325F" w14:textId="7DEAF1BC" w:rsidR="000B535C" w:rsidRPr="00FE41FE" w:rsidRDefault="00A761FD" w:rsidP="00FE41FE">
                  <w:pPr>
                    <w:jc w:val="center"/>
                    <w:rPr>
                      <w:rFonts w:asciiTheme="minorHAnsi" w:eastAsia="Calibri" w:hAnsiTheme="minorHAnsi" w:cstheme="minorHAnsi"/>
                      <w:b/>
                      <w:bCs/>
                      <w:iCs/>
                      <w:color w:val="002060"/>
                      <w:sz w:val="20"/>
                      <w:lang w:val="en-GB"/>
                    </w:rPr>
                  </w:pPr>
                  <w:r w:rsidRPr="00FE41FE">
                    <w:rPr>
                      <w:rFonts w:asciiTheme="minorHAnsi" w:eastAsia="Calibri" w:hAnsiTheme="minorHAnsi" w:cstheme="minorHAnsi"/>
                      <w:b/>
                      <w:bCs/>
                      <w:iCs/>
                      <w:color w:val="002060"/>
                      <w:sz w:val="20"/>
                      <w:lang w:val="en-GB"/>
                    </w:rPr>
                    <w:t>150 Hours</w:t>
                  </w:r>
                </w:p>
              </w:tc>
            </w:tr>
          </w:tbl>
          <w:p w14:paraId="46023261" w14:textId="77777777" w:rsidR="00CC1EC5" w:rsidRPr="00FE41FE" w:rsidRDefault="00CC1EC5" w:rsidP="00FE41FE">
            <w:pPr>
              <w:rPr>
                <w:rFonts w:asciiTheme="minorHAnsi" w:eastAsia="Calibri" w:hAnsiTheme="minorHAnsi" w:cstheme="minorHAnsi"/>
                <w:iCs/>
                <w:color w:val="002060"/>
                <w:sz w:val="20"/>
                <w:lang w:val="en-GB"/>
              </w:rPr>
            </w:pPr>
          </w:p>
        </w:tc>
      </w:tr>
      <w:tr w:rsidR="00CC1EC5" w:rsidRPr="006403CB" w14:paraId="46023277" w14:textId="77777777" w:rsidTr="00E30CBA">
        <w:tc>
          <w:tcPr>
            <w:tcW w:w="3306" w:type="dxa"/>
          </w:tcPr>
          <w:p w14:paraId="1E969F93" w14:textId="77777777" w:rsidR="00BB152D" w:rsidRPr="00252A01" w:rsidRDefault="00CC1EC5" w:rsidP="00BB152D">
            <w:pPr>
              <w:ind w:left="360"/>
              <w:jc w:val="right"/>
              <w:rPr>
                <w:rFonts w:asciiTheme="majorHAnsi" w:hAnsiTheme="majorHAnsi" w:cs="Arial"/>
                <w:b/>
                <w:sz w:val="20"/>
                <w:szCs w:val="20"/>
              </w:rPr>
            </w:pPr>
            <w:r w:rsidRPr="006403CB">
              <w:rPr>
                <w:rFonts w:asciiTheme="majorHAnsi" w:hAnsiTheme="majorHAnsi" w:cs="Arial"/>
                <w:b/>
                <w:sz w:val="20"/>
                <w:szCs w:val="20"/>
                <w:lang w:val="en-GB"/>
              </w:rPr>
              <w:lastRenderedPageBreak/>
              <w:t>STUDENT PERFORMANCE EVALUATION</w:t>
            </w:r>
            <w:r w:rsidR="00BB152D" w:rsidRPr="00252A01">
              <w:rPr>
                <w:rFonts w:asciiTheme="majorHAnsi" w:hAnsiTheme="majorHAnsi" w:cs="Arial"/>
                <w:b/>
                <w:sz w:val="20"/>
                <w:szCs w:val="20"/>
              </w:rPr>
              <w:t xml:space="preserve"> </w:t>
            </w:r>
          </w:p>
          <w:p w14:paraId="7A7EA435" w14:textId="464D4D2D" w:rsidR="00BB152D" w:rsidRPr="00B26B3C" w:rsidRDefault="00BB152D" w:rsidP="00BB152D">
            <w:pPr>
              <w:ind w:left="360"/>
              <w:jc w:val="right"/>
              <w:rPr>
                <w:rFonts w:asciiTheme="majorHAnsi" w:hAnsiTheme="majorHAnsi" w:cs="Arial"/>
                <w:b/>
                <w:sz w:val="20"/>
                <w:szCs w:val="20"/>
                <w:lang w:val="en-GB"/>
              </w:rPr>
            </w:pPr>
            <w:r>
              <w:rPr>
                <w:rFonts w:asciiTheme="majorHAnsi" w:hAnsiTheme="majorHAnsi" w:cs="Arial"/>
                <w:b/>
                <w:sz w:val="20"/>
                <w:szCs w:val="20"/>
                <w:lang w:val="en-GB"/>
              </w:rPr>
              <w:t xml:space="preserve">&amp; </w:t>
            </w:r>
            <w:r w:rsidRPr="00B26B3C">
              <w:rPr>
                <w:rFonts w:asciiTheme="majorHAnsi" w:hAnsiTheme="majorHAnsi" w:cs="Arial"/>
                <w:b/>
                <w:sz w:val="20"/>
                <w:szCs w:val="20"/>
                <w:lang w:val="en-GB"/>
              </w:rPr>
              <w:t>GenAI POLICY</w:t>
            </w:r>
          </w:p>
          <w:p w14:paraId="46023263" w14:textId="676E89E0" w:rsidR="00CC1EC5" w:rsidRPr="00252A01" w:rsidRDefault="00CC1EC5" w:rsidP="00E30CBA">
            <w:pPr>
              <w:jc w:val="right"/>
              <w:rPr>
                <w:rFonts w:asciiTheme="majorHAnsi" w:hAnsiTheme="majorHAnsi" w:cs="Arial"/>
                <w:b/>
                <w:sz w:val="20"/>
                <w:szCs w:val="20"/>
              </w:rPr>
            </w:pPr>
          </w:p>
          <w:p w14:paraId="46023264"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46023265" w14:textId="77777777" w:rsidR="00CC1EC5" w:rsidRPr="006403CB" w:rsidRDefault="00CC1EC5" w:rsidP="00E30CBA">
            <w:pPr>
              <w:jc w:val="both"/>
              <w:rPr>
                <w:rFonts w:asciiTheme="majorHAnsi" w:hAnsiTheme="majorHAnsi" w:cs="Arial"/>
                <w:i/>
                <w:sz w:val="16"/>
                <w:szCs w:val="16"/>
                <w:lang w:val="en-GB"/>
              </w:rPr>
            </w:pPr>
          </w:p>
          <w:p w14:paraId="4602326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xml:space="preserve">Language of evaluation, methods of evaluation, summative or conclusive, </w:t>
            </w:r>
            <w:proofErr w:type="gramStart"/>
            <w:r w:rsidRPr="006403CB">
              <w:rPr>
                <w:rFonts w:asciiTheme="majorHAnsi" w:hAnsiTheme="majorHAnsi" w:cs="Arial"/>
                <w:i/>
                <w:sz w:val="16"/>
                <w:szCs w:val="16"/>
                <w:lang w:val="en-GB"/>
              </w:rPr>
              <w:t>multiple choice</w:t>
            </w:r>
            <w:proofErr w:type="gramEnd"/>
            <w:r w:rsidRPr="006403CB">
              <w:rPr>
                <w:rFonts w:asciiTheme="majorHAnsi" w:hAnsiTheme="majorHAnsi" w:cs="Arial"/>
                <w:i/>
                <w:sz w:val="16"/>
                <w:szCs w:val="16"/>
                <w:lang w:val="en-GB"/>
              </w:rPr>
              <w:t xml:space="preserve"> questionnaires, short-answer questions, open-ended questions, problem solving, written work, essay/report, oral examination, public presentation, laboratory work, clinical examination of patient, art interpretation, other</w:t>
            </w:r>
          </w:p>
          <w:p w14:paraId="46023267" w14:textId="77777777" w:rsidR="00CC1EC5" w:rsidRPr="006403CB" w:rsidRDefault="00CC1EC5" w:rsidP="00E30CBA">
            <w:pPr>
              <w:jc w:val="both"/>
              <w:rPr>
                <w:rFonts w:asciiTheme="majorHAnsi" w:hAnsiTheme="majorHAnsi" w:cs="Arial"/>
                <w:i/>
                <w:sz w:val="16"/>
                <w:szCs w:val="16"/>
                <w:lang w:val="en-GB"/>
              </w:rPr>
            </w:pPr>
          </w:p>
          <w:p w14:paraId="46023268" w14:textId="77777777" w:rsidR="00CC1EC5" w:rsidRPr="006403CB" w:rsidRDefault="00CC1EC5" w:rsidP="00E30CBA">
            <w:pPr>
              <w:jc w:val="both"/>
              <w:rPr>
                <w:rFonts w:asciiTheme="majorHAnsi" w:hAnsiTheme="majorHAnsi" w:cs="Arial"/>
                <w:i/>
                <w:sz w:val="16"/>
                <w:szCs w:val="16"/>
                <w:lang w:val="en-GB"/>
              </w:rPr>
            </w:pPr>
            <w:proofErr w:type="gramStart"/>
            <w:r w:rsidRPr="006403CB">
              <w:rPr>
                <w:rFonts w:asciiTheme="majorHAnsi" w:hAnsiTheme="majorHAnsi" w:cs="Arial"/>
                <w:i/>
                <w:sz w:val="16"/>
                <w:szCs w:val="16"/>
                <w:lang w:val="en-GB"/>
              </w:rPr>
              <w:t>Specifically-defined</w:t>
            </w:r>
            <w:proofErr w:type="gramEnd"/>
            <w:r w:rsidRPr="006403CB">
              <w:rPr>
                <w:rFonts w:asciiTheme="majorHAnsi" w:hAnsiTheme="majorHAnsi" w:cs="Arial"/>
                <w:i/>
                <w:sz w:val="16"/>
                <w:szCs w:val="16"/>
                <w:lang w:val="en-GB"/>
              </w:rPr>
              <w:t xml:space="preserve"> evaluation criteria are given, and if and where they are accessible to students.</w:t>
            </w:r>
          </w:p>
        </w:tc>
        <w:tc>
          <w:tcPr>
            <w:tcW w:w="5166" w:type="dxa"/>
            <w:tcBorders>
              <w:bottom w:val="single" w:sz="4" w:space="0" w:color="auto"/>
            </w:tcBorders>
          </w:tcPr>
          <w:p w14:paraId="32572AC1" w14:textId="77777777" w:rsidR="00A373C4" w:rsidRDefault="00A373C4" w:rsidP="00A373C4">
            <w:pPr>
              <w:rPr>
                <w:rFonts w:asciiTheme="minorHAnsi" w:hAnsiTheme="minorHAnsi" w:cstheme="minorHAnsi"/>
                <w:color w:val="002060"/>
                <w:lang w:val="en-GB"/>
              </w:rPr>
            </w:pPr>
            <w:r>
              <w:rPr>
                <w:rFonts w:asciiTheme="minorHAnsi" w:hAnsiTheme="minorHAnsi" w:cstheme="minorHAnsi"/>
                <w:color w:val="002060"/>
                <w:sz w:val="22"/>
                <w:lang w:val="en-GB"/>
              </w:rPr>
              <w:t>The assessment language is Greek.</w:t>
            </w:r>
          </w:p>
          <w:p w14:paraId="550FEF9A" w14:textId="77777777" w:rsidR="00A373C4" w:rsidRPr="006403CB" w:rsidRDefault="00A373C4" w:rsidP="00A373C4">
            <w:pPr>
              <w:rPr>
                <w:rFonts w:asciiTheme="majorHAnsi" w:hAnsiTheme="majorHAnsi" w:cs="Arial"/>
                <w:color w:val="002060"/>
                <w:lang w:val="en-GB"/>
              </w:rPr>
            </w:pPr>
          </w:p>
          <w:p w14:paraId="5F67B757" w14:textId="77777777" w:rsidR="00A373C4" w:rsidRDefault="00A373C4" w:rsidP="00A373C4">
            <w:pPr>
              <w:rPr>
                <w:rFonts w:asciiTheme="minorHAnsi" w:hAnsiTheme="minorHAnsi" w:cstheme="minorHAnsi"/>
                <w:color w:val="002060"/>
                <w:lang w:val="en-GB"/>
              </w:rPr>
            </w:pPr>
            <w:r>
              <w:rPr>
                <w:rFonts w:asciiTheme="minorHAnsi" w:hAnsiTheme="minorHAnsi" w:cstheme="minorHAnsi"/>
                <w:color w:val="002060"/>
                <w:sz w:val="22"/>
                <w:lang w:val="en-GB"/>
              </w:rPr>
              <w:t xml:space="preserve">The assessment for the course accounts the following components of the students' achievements portfolio: </w:t>
            </w:r>
          </w:p>
          <w:p w14:paraId="28F180FD" w14:textId="77777777" w:rsidR="00A373C4" w:rsidRDefault="00A373C4"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lang w:val="en-GB"/>
              </w:rPr>
              <w:t xml:space="preserve">Individual reflection assignments (edit of reflection texts for basic concepts) (20%), </w:t>
            </w:r>
          </w:p>
          <w:p w14:paraId="53EE3177" w14:textId="77777777" w:rsidR="00A373C4" w:rsidRDefault="00A373C4"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lang w:val="en-GB"/>
              </w:rPr>
              <w:t xml:space="preserve">Collaborative learning project (50%) </w:t>
            </w:r>
          </w:p>
          <w:p w14:paraId="73EC8DF9" w14:textId="77777777" w:rsidR="00A373C4" w:rsidRDefault="00A373C4"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lang w:val="en-GB"/>
              </w:rPr>
              <w:t xml:space="preserve">Presentation of the collaborative project (20%) </w:t>
            </w:r>
          </w:p>
          <w:p w14:paraId="550F914D" w14:textId="77777777" w:rsidR="00A373C4" w:rsidRDefault="00A373C4"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lang w:val="en-GB"/>
              </w:rPr>
              <w:t>Thorough and active participation (10%)</w:t>
            </w:r>
          </w:p>
          <w:p w14:paraId="51461CF3" w14:textId="77777777" w:rsidR="00A373C4" w:rsidRDefault="00A373C4" w:rsidP="00A373C4">
            <w:pPr>
              <w:rPr>
                <w:rFonts w:asciiTheme="minorHAnsi" w:hAnsiTheme="minorHAnsi" w:cstheme="minorHAnsi"/>
                <w:color w:val="002060"/>
                <w:lang w:val="en-GB"/>
              </w:rPr>
            </w:pPr>
          </w:p>
          <w:p w14:paraId="7457B877" w14:textId="77777777" w:rsidR="00CC1EC5" w:rsidRPr="00252A01" w:rsidRDefault="00A373C4" w:rsidP="00A373C4">
            <w:pPr>
              <w:rPr>
                <w:rFonts w:asciiTheme="minorHAnsi" w:hAnsiTheme="minorHAnsi" w:cstheme="minorHAnsi"/>
                <w:color w:val="002060"/>
                <w:sz w:val="22"/>
              </w:rPr>
            </w:pPr>
            <w:r>
              <w:rPr>
                <w:rFonts w:asciiTheme="minorHAnsi" w:hAnsiTheme="minorHAnsi" w:cstheme="minorHAnsi"/>
                <w:color w:val="002060"/>
                <w:sz w:val="22"/>
                <w:lang w:val="en-GB"/>
              </w:rPr>
              <w:t>The assessment procedure may adapt year by year.</w:t>
            </w:r>
          </w:p>
          <w:p w14:paraId="6CB1CC8D" w14:textId="77777777" w:rsidR="00BB152D" w:rsidRPr="00252A01" w:rsidRDefault="00BB152D" w:rsidP="00A373C4">
            <w:pPr>
              <w:rPr>
                <w:rFonts w:asciiTheme="minorHAnsi" w:hAnsiTheme="minorHAnsi" w:cstheme="minorHAnsi"/>
                <w:color w:val="002060"/>
                <w:sz w:val="22"/>
              </w:rPr>
            </w:pPr>
          </w:p>
          <w:p w14:paraId="46023276" w14:textId="1FC7C797" w:rsidR="00BB152D" w:rsidRPr="00C00340" w:rsidRDefault="00BB152D" w:rsidP="00BB152D">
            <w:pPr>
              <w:jc w:val="both"/>
              <w:rPr>
                <w:rFonts w:asciiTheme="minorHAnsi" w:hAnsiTheme="minorHAnsi" w:cstheme="minorHAnsi"/>
                <w:color w:val="002060"/>
                <w:sz w:val="22"/>
                <w:szCs w:val="22"/>
              </w:rPr>
            </w:pPr>
            <w:r w:rsidRPr="00C00340">
              <w:rPr>
                <w:rFonts w:asciiTheme="minorHAnsi" w:hAnsiTheme="minorHAnsi" w:cstheme="minorHAnsi"/>
                <w:color w:val="002060"/>
                <w:sz w:val="22"/>
                <w:szCs w:val="22"/>
              </w:rPr>
              <w:t>The level (1-5) of use of Generative Artificial Intelligence (GenAI) for each course assignment will be determined in accordance with the University of the Aegean Senate decision 45-20.2.2026.</w:t>
            </w:r>
          </w:p>
        </w:tc>
      </w:tr>
    </w:tbl>
    <w:p w14:paraId="46023278"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8C48D2" w14:paraId="4602327F" w14:textId="77777777" w:rsidTr="00E30CBA">
        <w:tc>
          <w:tcPr>
            <w:tcW w:w="8472" w:type="dxa"/>
          </w:tcPr>
          <w:p w14:paraId="46023279"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2B6B25A4" w14:textId="77777777" w:rsidR="008C48D2" w:rsidRPr="008C48D2"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Atkinson, C. (2008). </w:t>
            </w:r>
            <w:r w:rsidRPr="000F3901">
              <w:rPr>
                <w:rFonts w:asciiTheme="minorHAnsi" w:hAnsiTheme="minorHAnsi" w:cstheme="minorHAnsi"/>
                <w:i/>
                <w:sz w:val="16"/>
                <w:szCs w:val="16"/>
              </w:rPr>
              <w:t xml:space="preserve">Beyond bullet </w:t>
            </w:r>
            <w:r w:rsidRPr="008C48D2">
              <w:rPr>
                <w:rFonts w:asciiTheme="minorHAnsi" w:hAnsiTheme="minorHAnsi" w:cstheme="minorHAnsi"/>
                <w:sz w:val="16"/>
                <w:szCs w:val="16"/>
              </w:rPr>
              <w:t>points: using Microsoft Office PowerPoint 2007 to create presentations that inform, motivate, and inspire. Redmond, Wash: Microsoft Press.</w:t>
            </w:r>
          </w:p>
          <w:p w14:paraId="488FBF79"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Bozarth, J. (2008). Better than bullet points: creating engaging e-learning with PowerPoint. San Francisco: Pfeiffer.</w:t>
            </w:r>
          </w:p>
          <w:p w14:paraId="4DB155F4"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Bragg, L. (2012). Testing the effectiveness of mathematical games as a pedagogical tool for children’s learning. International Journal of Science and Mathematics Education, 10(6), 1445-1467. </w:t>
            </w:r>
          </w:p>
          <w:p w14:paraId="273B590B" w14:textId="77777777" w:rsidR="008C48D2" w:rsidRPr="000F3901"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Brandt, B. (2013). Everyday pedagogical practices in mathematical play situations in German “Kindergarten”. </w:t>
            </w:r>
            <w:r w:rsidRPr="000F3901">
              <w:rPr>
                <w:rFonts w:asciiTheme="minorHAnsi" w:hAnsiTheme="minorHAnsi" w:cstheme="minorHAnsi"/>
                <w:sz w:val="16"/>
                <w:szCs w:val="16"/>
              </w:rPr>
              <w:t>Educational Studies in Mathematics, 84(2), 227-248.</w:t>
            </w:r>
          </w:p>
          <w:p w14:paraId="2AD3C7F3" w14:textId="77777777" w:rsidR="008C48D2" w:rsidRPr="000F3901" w:rsidRDefault="008C48D2" w:rsidP="008C48D2">
            <w:pPr>
              <w:ind w:firstLine="284"/>
              <w:rPr>
                <w:rFonts w:asciiTheme="minorHAnsi" w:hAnsiTheme="minorHAnsi" w:cstheme="minorHAnsi"/>
                <w:sz w:val="16"/>
                <w:szCs w:val="16"/>
              </w:rPr>
            </w:pPr>
            <w:r w:rsidRPr="00771217">
              <w:rPr>
                <w:rFonts w:asciiTheme="minorHAnsi" w:hAnsiTheme="minorHAnsi" w:cstheme="minorHAnsi"/>
                <w:sz w:val="16"/>
                <w:szCs w:val="16"/>
              </w:rPr>
              <w:t xml:space="preserve">Carbonaro, M., </w:t>
            </w:r>
            <w:proofErr w:type="spellStart"/>
            <w:r w:rsidRPr="00771217">
              <w:rPr>
                <w:rFonts w:asciiTheme="minorHAnsi" w:hAnsiTheme="minorHAnsi" w:cstheme="minorHAnsi"/>
                <w:sz w:val="16"/>
                <w:szCs w:val="16"/>
              </w:rPr>
              <w:t>Cutumisu</w:t>
            </w:r>
            <w:proofErr w:type="spellEnd"/>
            <w:r w:rsidRPr="00771217">
              <w:rPr>
                <w:rFonts w:asciiTheme="minorHAnsi" w:hAnsiTheme="minorHAnsi" w:cstheme="minorHAnsi"/>
                <w:sz w:val="16"/>
                <w:szCs w:val="16"/>
              </w:rPr>
              <w:t xml:space="preserve">, M., Duff, H., Gillis, S., </w:t>
            </w:r>
            <w:proofErr w:type="spellStart"/>
            <w:r w:rsidRPr="00771217">
              <w:rPr>
                <w:rFonts w:asciiTheme="minorHAnsi" w:hAnsiTheme="minorHAnsi" w:cstheme="minorHAnsi"/>
                <w:sz w:val="16"/>
                <w:szCs w:val="16"/>
              </w:rPr>
              <w:t>Onuczko</w:t>
            </w:r>
            <w:proofErr w:type="spellEnd"/>
            <w:r w:rsidRPr="00771217">
              <w:rPr>
                <w:rFonts w:asciiTheme="minorHAnsi" w:hAnsiTheme="minorHAnsi" w:cstheme="minorHAnsi"/>
                <w:sz w:val="16"/>
                <w:szCs w:val="16"/>
              </w:rPr>
              <w:t xml:space="preserve">, C., Siegel, J., … </w:t>
            </w:r>
            <w:r w:rsidRPr="008C48D2">
              <w:rPr>
                <w:rFonts w:asciiTheme="minorHAnsi" w:hAnsiTheme="minorHAnsi" w:cstheme="minorHAnsi"/>
                <w:sz w:val="16"/>
                <w:szCs w:val="16"/>
              </w:rPr>
              <w:t xml:space="preserve">Waugh, K. (2008). Interactive story authoring: A viable form of creative expression for the classroom. </w:t>
            </w:r>
            <w:r w:rsidRPr="000F3901">
              <w:rPr>
                <w:rFonts w:asciiTheme="minorHAnsi" w:hAnsiTheme="minorHAnsi" w:cstheme="minorHAnsi"/>
                <w:sz w:val="16"/>
                <w:szCs w:val="16"/>
              </w:rPr>
              <w:t>Computers &amp; Education, 51(2), 687–707. doi:10.1016/j.compedu.2007.07.007</w:t>
            </w:r>
          </w:p>
          <w:p w14:paraId="19AA7DA9" w14:textId="77777777" w:rsidR="008C48D2" w:rsidRPr="008C48D2"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Carbonaro, M., </w:t>
            </w:r>
            <w:proofErr w:type="spellStart"/>
            <w:r w:rsidRPr="000F3901">
              <w:rPr>
                <w:rFonts w:asciiTheme="minorHAnsi" w:hAnsiTheme="minorHAnsi" w:cstheme="minorHAnsi"/>
                <w:sz w:val="16"/>
                <w:szCs w:val="16"/>
              </w:rPr>
              <w:t>Cutumisu</w:t>
            </w:r>
            <w:proofErr w:type="spellEnd"/>
            <w:r w:rsidRPr="000F3901">
              <w:rPr>
                <w:rFonts w:asciiTheme="minorHAnsi" w:hAnsiTheme="minorHAnsi" w:cstheme="minorHAnsi"/>
                <w:sz w:val="16"/>
                <w:szCs w:val="16"/>
              </w:rPr>
              <w:t xml:space="preserve">, M., Duff, H., Gillis, S., </w:t>
            </w:r>
            <w:proofErr w:type="spellStart"/>
            <w:r w:rsidRPr="000F3901">
              <w:rPr>
                <w:rFonts w:asciiTheme="minorHAnsi" w:hAnsiTheme="minorHAnsi" w:cstheme="minorHAnsi"/>
                <w:sz w:val="16"/>
                <w:szCs w:val="16"/>
              </w:rPr>
              <w:t>Onuczko</w:t>
            </w:r>
            <w:proofErr w:type="spellEnd"/>
            <w:r w:rsidRPr="000F3901">
              <w:rPr>
                <w:rFonts w:asciiTheme="minorHAnsi" w:hAnsiTheme="minorHAnsi" w:cstheme="minorHAnsi"/>
                <w:sz w:val="16"/>
                <w:szCs w:val="16"/>
              </w:rPr>
              <w:t xml:space="preserve">, C., Siegel, J., … </w:t>
            </w:r>
            <w:r w:rsidRPr="008C48D2">
              <w:rPr>
                <w:rFonts w:asciiTheme="minorHAnsi" w:hAnsiTheme="minorHAnsi" w:cstheme="minorHAnsi"/>
                <w:sz w:val="16"/>
                <w:szCs w:val="16"/>
              </w:rPr>
              <w:t>Waugh, K. (2008). Interactive story authoring: A viable form of creative expression for the classroom. Computers &amp; Education, 51(2), 687–707. doi:10.1016/j.compedu.2007.07.007</w:t>
            </w:r>
          </w:p>
          <w:p w14:paraId="3CA381B4"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Clark, R. C. (2008). E-learning and the science of instruction: proven guidelines for consumers and designers of multimedia learning (2nd ed.). San Francisco, CA: Pfeiffer.</w:t>
            </w:r>
          </w:p>
          <w:p w14:paraId="67B3B0E7"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Crawford, C. (2002). The art of interactive design: a euphonious and illuminating guide to building successful software, June 2002. San Francisco: No Starch Press.</w:t>
            </w:r>
          </w:p>
          <w:p w14:paraId="739677F0" w14:textId="77777777" w:rsidR="008C48D2" w:rsidRPr="000F3901"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Crawford, C. (2003). Chris Crawford on game design. </w:t>
            </w:r>
            <w:r w:rsidRPr="000F3901">
              <w:rPr>
                <w:rFonts w:asciiTheme="minorHAnsi" w:hAnsiTheme="minorHAnsi" w:cstheme="minorHAnsi"/>
                <w:sz w:val="16"/>
                <w:szCs w:val="16"/>
              </w:rPr>
              <w:t>Indianapolis, Ind: New Riders.</w:t>
            </w:r>
          </w:p>
          <w:p w14:paraId="6E843336" w14:textId="77777777" w:rsidR="008C48D2" w:rsidRPr="008C48D2"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European Conference on Games Based Learning, &amp; Felicia, P. (2012). </w:t>
            </w:r>
            <w:r w:rsidRPr="008C48D2">
              <w:rPr>
                <w:rFonts w:asciiTheme="minorHAnsi" w:hAnsiTheme="minorHAnsi" w:cstheme="minorHAnsi"/>
                <w:sz w:val="16"/>
                <w:szCs w:val="16"/>
              </w:rPr>
              <w:t>Proceedings of the 6th European Conference on Games Based Learning, 4-5 October 2012, [College Cork], Ireland: edited by Patrick Felicia. Reading: Academic Publishing International Limited.</w:t>
            </w:r>
          </w:p>
          <w:p w14:paraId="60AD96BA" w14:textId="77777777" w:rsidR="008C48D2" w:rsidRPr="008C48D2" w:rsidRDefault="008C48D2" w:rsidP="008C48D2">
            <w:pPr>
              <w:ind w:firstLine="284"/>
              <w:rPr>
                <w:rFonts w:asciiTheme="minorHAnsi" w:hAnsiTheme="minorHAnsi" w:cstheme="minorHAnsi"/>
                <w:sz w:val="16"/>
                <w:szCs w:val="16"/>
              </w:rPr>
            </w:pPr>
            <w:proofErr w:type="spellStart"/>
            <w:r w:rsidRPr="008C48D2">
              <w:rPr>
                <w:rFonts w:asciiTheme="minorHAnsi" w:hAnsiTheme="minorHAnsi" w:cstheme="minorHAnsi"/>
                <w:sz w:val="16"/>
                <w:szCs w:val="16"/>
              </w:rPr>
              <w:t>Fessakis</w:t>
            </w:r>
            <w:proofErr w:type="spellEnd"/>
            <w:r w:rsidRPr="008C48D2">
              <w:rPr>
                <w:rFonts w:asciiTheme="minorHAnsi" w:hAnsiTheme="minorHAnsi" w:cstheme="minorHAnsi"/>
                <w:sz w:val="16"/>
                <w:szCs w:val="16"/>
              </w:rPr>
              <w:t xml:space="preserve">, G., </w:t>
            </w:r>
            <w:proofErr w:type="spellStart"/>
            <w:r w:rsidRPr="008C48D2">
              <w:rPr>
                <w:rFonts w:asciiTheme="minorHAnsi" w:hAnsiTheme="minorHAnsi" w:cstheme="minorHAnsi"/>
                <w:sz w:val="16"/>
                <w:szCs w:val="16"/>
              </w:rPr>
              <w:t>Thoma</w:t>
            </w:r>
            <w:proofErr w:type="spellEnd"/>
            <w:r w:rsidRPr="008C48D2">
              <w:rPr>
                <w:rFonts w:asciiTheme="minorHAnsi" w:hAnsiTheme="minorHAnsi" w:cstheme="minorHAnsi"/>
                <w:sz w:val="16"/>
                <w:szCs w:val="16"/>
              </w:rPr>
              <w:t>, R., (2012). “Can digital games democratize access to mathematics learning? Tracing the relationship between learning potential and popularity”. Proceedings of the CIEAM64: Mathematics Education and Democracy: learning and teaching practices Conference, Rhodes, Greece, 23-27 July 2012</w:t>
            </w:r>
          </w:p>
          <w:p w14:paraId="7E7C3E00" w14:textId="77777777" w:rsidR="008C48D2" w:rsidRPr="008C48D2"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Joint International Conference on Interactive Digital Storytelling. </w:t>
            </w:r>
            <w:r w:rsidRPr="008C48D2">
              <w:rPr>
                <w:rFonts w:asciiTheme="minorHAnsi" w:hAnsiTheme="minorHAnsi" w:cstheme="minorHAnsi"/>
                <w:sz w:val="16"/>
                <w:szCs w:val="16"/>
              </w:rPr>
              <w:t>(2010). Interactive storytelling: third Joint Conference on Interactive Digital Storytelling, ICIDS 2010, Edinburgh, UK, November 1-3, 2010: proceedings. Berlin ; New York: Springer.</w:t>
            </w:r>
          </w:p>
          <w:p w14:paraId="7F637D6F"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Kapp, K.M. (2007). Gadgets, Games and Gizmos for Learning. San Francisco: John Wiley and Sons. 84 – 85.</w:t>
            </w:r>
          </w:p>
          <w:p w14:paraId="26CFF9D8"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lastRenderedPageBreak/>
              <w:t>Kenworthy, J. (2006). Simulations—Bridging from thwarted innovation to disruptive technology. Developments in Business Simulation and Experiential Learning: 33. 149 – 158.</w:t>
            </w:r>
          </w:p>
          <w:p w14:paraId="13B0AA50" w14:textId="77777777" w:rsidR="008C48D2" w:rsidRPr="000F3901"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Klopfer, E. (2005). Environmental detectives: The development of an augmented reality platform for environmental simulations. </w:t>
            </w:r>
            <w:r w:rsidRPr="000F3901">
              <w:rPr>
                <w:rFonts w:asciiTheme="minorHAnsi" w:hAnsiTheme="minorHAnsi" w:cstheme="minorHAnsi"/>
                <w:sz w:val="16"/>
                <w:szCs w:val="16"/>
              </w:rPr>
              <w:t xml:space="preserve">Educational Technology Research and Development, 56(2), 203–222; </w:t>
            </w:r>
          </w:p>
          <w:p w14:paraId="7B82868A" w14:textId="77777777" w:rsidR="008C48D2" w:rsidRPr="008C48D2"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Klopfer, E., Roque, R., Huang, W., Wendel, D., &amp; </w:t>
            </w:r>
            <w:proofErr w:type="spellStart"/>
            <w:r w:rsidRPr="000F3901">
              <w:rPr>
                <w:rFonts w:asciiTheme="minorHAnsi" w:hAnsiTheme="minorHAnsi" w:cstheme="minorHAnsi"/>
                <w:sz w:val="16"/>
                <w:szCs w:val="16"/>
              </w:rPr>
              <w:t>Scheintaub</w:t>
            </w:r>
            <w:proofErr w:type="spellEnd"/>
            <w:r w:rsidRPr="000F3901">
              <w:rPr>
                <w:rFonts w:asciiTheme="minorHAnsi" w:hAnsiTheme="minorHAnsi" w:cstheme="minorHAnsi"/>
                <w:sz w:val="16"/>
                <w:szCs w:val="16"/>
              </w:rPr>
              <w:t xml:space="preserve">, H.(2009). </w:t>
            </w:r>
            <w:r w:rsidRPr="008C48D2">
              <w:rPr>
                <w:rFonts w:asciiTheme="minorHAnsi" w:hAnsiTheme="minorHAnsi" w:cstheme="minorHAnsi"/>
                <w:sz w:val="16"/>
                <w:szCs w:val="16"/>
              </w:rPr>
              <w:t xml:space="preserve">The simulation cycle: Combining games, simulations, engineering and science using </w:t>
            </w:r>
            <w:proofErr w:type="spellStart"/>
            <w:r w:rsidRPr="008C48D2">
              <w:rPr>
                <w:rFonts w:asciiTheme="minorHAnsi" w:hAnsiTheme="minorHAnsi" w:cstheme="minorHAnsi"/>
                <w:sz w:val="16"/>
                <w:szCs w:val="16"/>
              </w:rPr>
              <w:t>StarLogo</w:t>
            </w:r>
            <w:proofErr w:type="spellEnd"/>
            <w:r w:rsidRPr="008C48D2">
              <w:rPr>
                <w:rFonts w:asciiTheme="minorHAnsi" w:hAnsiTheme="minorHAnsi" w:cstheme="minorHAnsi"/>
                <w:sz w:val="16"/>
                <w:szCs w:val="16"/>
              </w:rPr>
              <w:t xml:space="preserve"> TNG. E-Learning, 6(1), 71</w:t>
            </w:r>
          </w:p>
          <w:p w14:paraId="59706746"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Klopfer, E., Yoon, S.,&amp; Perry, J. (2005). Using Palm technology in participatory simulations of new directions for youth development complex systems: A new take on ubiquitous and accessible mobile computing. Journal of Science Education and Technology, 14(3), 285–297.</w:t>
            </w:r>
          </w:p>
          <w:p w14:paraId="4836CE1B" w14:textId="77777777" w:rsidR="008C48D2" w:rsidRPr="008C48D2"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Kreiger, H. (2006). Simulation-based learning content: How might simulation-based learning contribute to performance-based, meaningful employee learning? INN Faculty Research Conference 2006. 1 – 9.</w:t>
            </w:r>
          </w:p>
          <w:p w14:paraId="798DCE4D" w14:textId="77777777" w:rsidR="008C48D2" w:rsidRPr="008C48D2"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Lebowitz</w:t>
            </w:r>
            <w:r w:rsidRPr="008C48D2">
              <w:rPr>
                <w:rFonts w:asciiTheme="minorHAnsi" w:hAnsiTheme="minorHAnsi" w:cstheme="minorHAnsi"/>
                <w:sz w:val="16"/>
                <w:szCs w:val="16"/>
              </w:rPr>
              <w:t xml:space="preserve">, </w:t>
            </w:r>
            <w:r w:rsidRPr="000F3901">
              <w:rPr>
                <w:rFonts w:asciiTheme="minorHAnsi" w:hAnsiTheme="minorHAnsi" w:cstheme="minorHAnsi"/>
                <w:sz w:val="16"/>
                <w:szCs w:val="16"/>
              </w:rPr>
              <w:t>J</w:t>
            </w:r>
            <w:r w:rsidRPr="008C48D2">
              <w:rPr>
                <w:rFonts w:asciiTheme="minorHAnsi" w:hAnsiTheme="minorHAnsi" w:cstheme="minorHAnsi"/>
                <w:sz w:val="16"/>
                <w:szCs w:val="16"/>
              </w:rPr>
              <w:t xml:space="preserve">., &amp; </w:t>
            </w:r>
            <w:r w:rsidRPr="000F3901">
              <w:rPr>
                <w:rFonts w:asciiTheme="minorHAnsi" w:hAnsiTheme="minorHAnsi" w:cstheme="minorHAnsi"/>
                <w:sz w:val="16"/>
                <w:szCs w:val="16"/>
              </w:rPr>
              <w:t>Klug</w:t>
            </w:r>
            <w:r w:rsidRPr="008C48D2">
              <w:rPr>
                <w:rFonts w:asciiTheme="minorHAnsi" w:hAnsiTheme="minorHAnsi" w:cstheme="minorHAnsi"/>
                <w:sz w:val="16"/>
                <w:szCs w:val="16"/>
              </w:rPr>
              <w:t xml:space="preserve">, </w:t>
            </w:r>
            <w:r w:rsidRPr="000F3901">
              <w:rPr>
                <w:rFonts w:asciiTheme="minorHAnsi" w:hAnsiTheme="minorHAnsi" w:cstheme="minorHAnsi"/>
                <w:sz w:val="16"/>
                <w:szCs w:val="16"/>
              </w:rPr>
              <w:t>C</w:t>
            </w:r>
            <w:r w:rsidRPr="008C48D2">
              <w:rPr>
                <w:rFonts w:asciiTheme="minorHAnsi" w:hAnsiTheme="minorHAnsi" w:cstheme="minorHAnsi"/>
                <w:sz w:val="16"/>
                <w:szCs w:val="16"/>
              </w:rPr>
              <w:t xml:space="preserve">. (2011). </w:t>
            </w:r>
            <w:r w:rsidRPr="000F3901">
              <w:rPr>
                <w:rFonts w:asciiTheme="minorHAnsi" w:hAnsiTheme="minorHAnsi" w:cstheme="minorHAnsi"/>
                <w:sz w:val="16"/>
                <w:szCs w:val="16"/>
              </w:rPr>
              <w:t xml:space="preserve">Interactive storytelling for video games: A player-centered approach to creating memorable characters and stories. </w:t>
            </w:r>
            <w:r w:rsidRPr="008C48D2">
              <w:rPr>
                <w:rFonts w:asciiTheme="minorHAnsi" w:hAnsiTheme="minorHAnsi" w:cstheme="minorHAnsi"/>
                <w:sz w:val="16"/>
                <w:szCs w:val="16"/>
              </w:rPr>
              <w:t>Taylor &amp; Francis.</w:t>
            </w:r>
          </w:p>
          <w:p w14:paraId="503060C6" w14:textId="77777777" w:rsidR="008C48D2" w:rsidRPr="008C48D2" w:rsidRDefault="008C48D2" w:rsidP="008C48D2">
            <w:pPr>
              <w:ind w:firstLine="284"/>
              <w:rPr>
                <w:rFonts w:asciiTheme="minorHAnsi" w:hAnsiTheme="minorHAnsi" w:cstheme="minorHAnsi"/>
                <w:sz w:val="16"/>
                <w:szCs w:val="16"/>
              </w:rPr>
            </w:pPr>
            <w:proofErr w:type="spellStart"/>
            <w:r w:rsidRPr="008C48D2">
              <w:rPr>
                <w:rFonts w:asciiTheme="minorHAnsi" w:hAnsiTheme="minorHAnsi" w:cstheme="minorHAnsi"/>
                <w:sz w:val="16"/>
                <w:szCs w:val="16"/>
              </w:rPr>
              <w:t>Orngreen</w:t>
            </w:r>
            <w:proofErr w:type="spellEnd"/>
            <w:r w:rsidRPr="008C48D2">
              <w:rPr>
                <w:rFonts w:asciiTheme="minorHAnsi" w:hAnsiTheme="minorHAnsi" w:cstheme="minorHAnsi"/>
                <w:sz w:val="16"/>
                <w:szCs w:val="16"/>
              </w:rPr>
              <w:t xml:space="preserve">, R. (n.d.) </w:t>
            </w:r>
            <w:proofErr w:type="spellStart"/>
            <w:r w:rsidRPr="008C48D2">
              <w:rPr>
                <w:rFonts w:asciiTheme="minorHAnsi" w:hAnsiTheme="minorHAnsi" w:cstheme="minorHAnsi"/>
                <w:sz w:val="16"/>
                <w:szCs w:val="16"/>
              </w:rPr>
              <w:t>CaseMaker</w:t>
            </w:r>
            <w:proofErr w:type="spellEnd"/>
            <w:r w:rsidRPr="008C48D2">
              <w:rPr>
                <w:rFonts w:asciiTheme="minorHAnsi" w:hAnsiTheme="minorHAnsi" w:cstheme="minorHAnsi"/>
                <w:sz w:val="16"/>
                <w:szCs w:val="16"/>
              </w:rPr>
              <w:t>: An environment for case-based e-learning. Academic Conferences Limited. 167 – 180.</w:t>
            </w:r>
          </w:p>
          <w:p w14:paraId="6AFD6F0F" w14:textId="77777777" w:rsidR="008C48D2" w:rsidRPr="008C48D2" w:rsidRDefault="008C48D2" w:rsidP="008C48D2">
            <w:pPr>
              <w:ind w:firstLine="284"/>
              <w:rPr>
                <w:rFonts w:asciiTheme="minorHAnsi" w:hAnsiTheme="minorHAnsi" w:cstheme="minorHAnsi"/>
                <w:sz w:val="16"/>
                <w:szCs w:val="16"/>
              </w:rPr>
            </w:pPr>
            <w:proofErr w:type="spellStart"/>
            <w:r w:rsidRPr="008C48D2">
              <w:rPr>
                <w:rFonts w:asciiTheme="minorHAnsi" w:hAnsiTheme="minorHAnsi" w:cstheme="minorHAnsi"/>
                <w:sz w:val="16"/>
                <w:szCs w:val="16"/>
              </w:rPr>
              <w:t>Provelengios</w:t>
            </w:r>
            <w:proofErr w:type="spellEnd"/>
            <w:r w:rsidRPr="008C48D2">
              <w:rPr>
                <w:rFonts w:asciiTheme="minorHAnsi" w:hAnsiTheme="minorHAnsi" w:cstheme="minorHAnsi"/>
                <w:sz w:val="16"/>
                <w:szCs w:val="16"/>
              </w:rPr>
              <w:t>, P., Fesakis G. (2011). « Educational applications of Serious Games: The case of the game “Food Force” in primary education students» Accepted for publication in the proceedings of the 5th European Conference on Games Based Learning (ECGBL 2011), Athens,  Greece, 20-21 October 2011, http://www.academic-conferences.org/ecgbl/ecgbl2011/ecgbl11-home.htm</w:t>
            </w:r>
          </w:p>
          <w:p w14:paraId="179A7834" w14:textId="77777777" w:rsidR="008C48D2" w:rsidRPr="000F3901"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Quinn, C. N. (2005). Engaging learning: designing e-learning simulation games. </w:t>
            </w:r>
            <w:r w:rsidRPr="000F3901">
              <w:rPr>
                <w:rFonts w:asciiTheme="minorHAnsi" w:hAnsiTheme="minorHAnsi" w:cstheme="minorHAnsi"/>
                <w:sz w:val="16"/>
                <w:szCs w:val="16"/>
              </w:rPr>
              <w:t>San Francisco, CA: Jossey-Bass.</w:t>
            </w:r>
          </w:p>
          <w:p w14:paraId="1C023025" w14:textId="77777777" w:rsidR="008C48D2" w:rsidRPr="000F3901"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Richard Mayer (ed), (2005), The Cambridge handbook of multimedia learning, University of California</w:t>
            </w:r>
          </w:p>
          <w:p w14:paraId="1AFDB956" w14:textId="77777777" w:rsidR="008C48D2" w:rsidRPr="000F3901"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Schell, J. (2008). The art of game design: a book of lenses. </w:t>
            </w:r>
            <w:r w:rsidRPr="000F3901">
              <w:rPr>
                <w:rFonts w:asciiTheme="minorHAnsi" w:hAnsiTheme="minorHAnsi" w:cstheme="minorHAnsi"/>
                <w:sz w:val="16"/>
                <w:szCs w:val="16"/>
              </w:rPr>
              <w:t>Amsterdam ; Boston: Elsevier/Morgan Kaufmann.</w:t>
            </w:r>
          </w:p>
          <w:p w14:paraId="12BBCD12" w14:textId="77777777" w:rsidR="008C48D2" w:rsidRPr="000F3901"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Schone, B., (2008), Engaging  Interactions for </w:t>
            </w:r>
            <w:proofErr w:type="spellStart"/>
            <w:r w:rsidRPr="000F3901">
              <w:rPr>
                <w:rFonts w:asciiTheme="minorHAnsi" w:hAnsiTheme="minorHAnsi" w:cstheme="minorHAnsi"/>
                <w:sz w:val="16"/>
                <w:szCs w:val="16"/>
              </w:rPr>
              <w:t>elearning</w:t>
            </w:r>
            <w:proofErr w:type="spellEnd"/>
            <w:r w:rsidRPr="000F3901">
              <w:rPr>
                <w:rFonts w:asciiTheme="minorHAnsi" w:hAnsiTheme="minorHAnsi" w:cstheme="minorHAnsi"/>
                <w:sz w:val="16"/>
                <w:szCs w:val="16"/>
              </w:rPr>
              <w:t xml:space="preserve">, </w:t>
            </w:r>
            <w:hyperlink r:id="rId5" w:history="1">
              <w:r w:rsidRPr="000F3901">
                <w:rPr>
                  <w:rStyle w:val="-"/>
                  <w:rFonts w:asciiTheme="minorHAnsi" w:hAnsiTheme="minorHAnsi" w:cstheme="minorHAnsi"/>
                  <w:sz w:val="16"/>
                  <w:szCs w:val="16"/>
                </w:rPr>
                <w:t>http://www.engaginginteractions.com</w:t>
              </w:r>
            </w:hyperlink>
          </w:p>
          <w:p w14:paraId="49B6E130" w14:textId="77777777" w:rsidR="008C48D2" w:rsidRPr="000F3901" w:rsidRDefault="008C48D2" w:rsidP="008C48D2">
            <w:pPr>
              <w:ind w:firstLine="284"/>
              <w:rPr>
                <w:rFonts w:asciiTheme="minorHAnsi" w:hAnsiTheme="minorHAnsi" w:cstheme="minorHAnsi"/>
                <w:sz w:val="16"/>
                <w:szCs w:val="16"/>
              </w:rPr>
            </w:pPr>
            <w:r w:rsidRPr="008C48D2">
              <w:rPr>
                <w:rFonts w:asciiTheme="minorHAnsi" w:hAnsiTheme="minorHAnsi" w:cstheme="minorHAnsi"/>
                <w:sz w:val="16"/>
                <w:szCs w:val="16"/>
              </w:rPr>
              <w:t xml:space="preserve">Thomas, R. (2001). Interactivity &amp; simulations in e-learning. </w:t>
            </w:r>
            <w:proofErr w:type="spellStart"/>
            <w:r w:rsidRPr="000F3901">
              <w:rPr>
                <w:rFonts w:asciiTheme="minorHAnsi" w:hAnsiTheme="minorHAnsi" w:cstheme="minorHAnsi"/>
                <w:sz w:val="16"/>
                <w:szCs w:val="16"/>
              </w:rPr>
              <w:t>MultiVerse</w:t>
            </w:r>
            <w:proofErr w:type="spellEnd"/>
            <w:r w:rsidRPr="000F3901">
              <w:rPr>
                <w:rFonts w:asciiTheme="minorHAnsi" w:hAnsiTheme="minorHAnsi" w:cstheme="minorHAnsi"/>
                <w:sz w:val="16"/>
                <w:szCs w:val="16"/>
              </w:rPr>
              <w:t xml:space="preserve"> Publications. 1 – 16.</w:t>
            </w:r>
          </w:p>
          <w:p w14:paraId="07E9CA61" w14:textId="77777777" w:rsidR="008C48D2" w:rsidRPr="000F3901" w:rsidRDefault="008C48D2" w:rsidP="008C48D2">
            <w:pPr>
              <w:ind w:firstLine="284"/>
              <w:rPr>
                <w:rFonts w:asciiTheme="minorHAnsi" w:hAnsiTheme="minorHAnsi" w:cstheme="minorHAnsi"/>
                <w:sz w:val="16"/>
                <w:szCs w:val="16"/>
              </w:rPr>
            </w:pPr>
            <w:r w:rsidRPr="000F3901">
              <w:rPr>
                <w:rFonts w:asciiTheme="minorHAnsi" w:hAnsiTheme="minorHAnsi" w:cstheme="minorHAnsi"/>
                <w:sz w:val="16"/>
                <w:szCs w:val="16"/>
              </w:rPr>
              <w:t>Yelland, N. (2002), Playing with Ideas and Games in Early Mathematics, Contemporary Issues in Early Childhood, 3(2), 197-215</w:t>
            </w:r>
          </w:p>
          <w:p w14:paraId="2F0599D8" w14:textId="77777777" w:rsidR="008C48D2" w:rsidRPr="000F3901" w:rsidRDefault="008C48D2" w:rsidP="008C48D2">
            <w:pPr>
              <w:ind w:firstLine="284"/>
              <w:rPr>
                <w:rFonts w:asciiTheme="minorHAnsi" w:hAnsiTheme="minorHAnsi" w:cstheme="minorHAnsi"/>
                <w:sz w:val="16"/>
                <w:szCs w:val="16"/>
                <w:lang w:val="el-GR"/>
              </w:rPr>
            </w:pPr>
            <w:proofErr w:type="spellStart"/>
            <w:r w:rsidRPr="000F3901">
              <w:rPr>
                <w:rFonts w:asciiTheme="minorHAnsi" w:hAnsiTheme="minorHAnsi" w:cstheme="minorHAnsi"/>
                <w:sz w:val="16"/>
                <w:szCs w:val="16"/>
                <w:lang w:val="el-GR"/>
              </w:rPr>
              <w:t>Λαζαρίνης</w:t>
            </w:r>
            <w:proofErr w:type="spellEnd"/>
            <w:r w:rsidRPr="000F3901">
              <w:rPr>
                <w:rFonts w:asciiTheme="minorHAnsi" w:hAnsiTheme="minorHAnsi" w:cstheme="minorHAnsi"/>
                <w:sz w:val="16"/>
                <w:szCs w:val="16"/>
                <w:lang w:val="el-GR"/>
              </w:rPr>
              <w:t xml:space="preserve"> Φ., (2007), Τεχνολογίες πολυμέσων, Κλειδάριθμος</w:t>
            </w:r>
          </w:p>
          <w:p w14:paraId="04EBCC90" w14:textId="77777777" w:rsidR="008C48D2" w:rsidRPr="008C48D2" w:rsidRDefault="008C48D2" w:rsidP="008C48D2">
            <w:pPr>
              <w:ind w:firstLine="284"/>
              <w:rPr>
                <w:rFonts w:asciiTheme="minorHAnsi" w:hAnsiTheme="minorHAnsi" w:cstheme="minorHAnsi"/>
                <w:sz w:val="16"/>
                <w:szCs w:val="16"/>
                <w:lang w:val="el-GR"/>
              </w:rPr>
            </w:pPr>
            <w:r w:rsidRPr="000F3901">
              <w:rPr>
                <w:rFonts w:asciiTheme="minorHAnsi" w:hAnsiTheme="minorHAnsi" w:cstheme="minorHAnsi"/>
                <w:sz w:val="16"/>
                <w:szCs w:val="16"/>
                <w:lang w:val="el-GR"/>
              </w:rPr>
              <w:t xml:space="preserve">Σεραφείμ Κ., Φεσάκης Γ., (2010), «Εκπαιδευτικές εφαρμογές ψηφιακής αφήγησης: Διδακτική προσέγγιση για το Νηπιαγωγείο», Στο Α. </w:t>
            </w:r>
            <w:proofErr w:type="spellStart"/>
            <w:r w:rsidRPr="000F3901">
              <w:rPr>
                <w:rFonts w:asciiTheme="minorHAnsi" w:hAnsiTheme="minorHAnsi" w:cstheme="minorHAnsi"/>
                <w:sz w:val="16"/>
                <w:szCs w:val="16"/>
                <w:lang w:val="el-GR"/>
              </w:rPr>
              <w:t>Τζιμογιάννης</w:t>
            </w:r>
            <w:proofErr w:type="spellEnd"/>
            <w:r w:rsidRPr="000F3901">
              <w:rPr>
                <w:rFonts w:asciiTheme="minorHAnsi" w:hAnsiTheme="minorHAnsi" w:cstheme="minorHAnsi"/>
                <w:sz w:val="16"/>
                <w:szCs w:val="16"/>
                <w:lang w:val="el-GR"/>
              </w:rPr>
              <w:t xml:space="preserve"> (</w:t>
            </w:r>
            <w:proofErr w:type="spellStart"/>
            <w:r w:rsidRPr="000F3901">
              <w:rPr>
                <w:rFonts w:asciiTheme="minorHAnsi" w:hAnsiTheme="minorHAnsi" w:cstheme="minorHAnsi"/>
                <w:sz w:val="16"/>
                <w:szCs w:val="16"/>
                <w:lang w:val="el-GR"/>
              </w:rPr>
              <w:t>επιμ</w:t>
            </w:r>
            <w:proofErr w:type="spellEnd"/>
            <w:r w:rsidRPr="000F3901">
              <w:rPr>
                <w:rFonts w:asciiTheme="minorHAnsi" w:hAnsiTheme="minorHAnsi" w:cstheme="minorHAnsi"/>
                <w:sz w:val="16"/>
                <w:szCs w:val="16"/>
                <w:lang w:val="el-GR"/>
              </w:rPr>
              <w:t>.) Πρακτικά εργασιών 7ου Πανελλήνιου Συνεδρίου με Διεθνή Συμμετοχή: «Οι ΤΠΕ στην Εκπαίδευση», Πανεπιστήμιο Πελοποννήσου,  Κόρινθος</w:t>
            </w:r>
            <w:r w:rsidRPr="008C48D2">
              <w:rPr>
                <w:rFonts w:asciiTheme="minorHAnsi" w:hAnsiTheme="minorHAnsi" w:cstheme="minorHAnsi"/>
                <w:sz w:val="16"/>
                <w:szCs w:val="16"/>
                <w:lang w:val="el-GR"/>
              </w:rPr>
              <w:t xml:space="preserve">, 23-26 Σεπτεμβρίου 2010, </w:t>
            </w:r>
            <w:r w:rsidRPr="000F3901">
              <w:rPr>
                <w:rFonts w:asciiTheme="minorHAnsi" w:hAnsiTheme="minorHAnsi" w:cstheme="minorHAnsi"/>
                <w:sz w:val="16"/>
                <w:szCs w:val="16"/>
              </w:rPr>
              <w:t>ISBN</w:t>
            </w:r>
            <w:r w:rsidRPr="008C48D2">
              <w:rPr>
                <w:rFonts w:asciiTheme="minorHAnsi" w:hAnsiTheme="minorHAnsi" w:cstheme="minorHAnsi"/>
                <w:sz w:val="16"/>
                <w:szCs w:val="16"/>
                <w:lang w:val="el-GR"/>
              </w:rPr>
              <w:t xml:space="preserve">: 978-960-88359-5-5, </w:t>
            </w:r>
            <w:r w:rsidRPr="000F3901">
              <w:rPr>
                <w:rFonts w:asciiTheme="minorHAnsi" w:hAnsiTheme="minorHAnsi" w:cstheme="minorHAnsi"/>
                <w:sz w:val="16"/>
                <w:szCs w:val="16"/>
              </w:rPr>
              <w:t>ISSN</w:t>
            </w:r>
            <w:r w:rsidRPr="008C48D2">
              <w:rPr>
                <w:rFonts w:asciiTheme="minorHAnsi" w:hAnsiTheme="minorHAnsi" w:cstheme="minorHAnsi"/>
                <w:sz w:val="16"/>
                <w:szCs w:val="16"/>
                <w:lang w:val="el-GR"/>
              </w:rPr>
              <w:t>: 1792-5010, τόμος ΙΙ, σελ.:521-528</w:t>
            </w:r>
          </w:p>
          <w:p w14:paraId="651362AA" w14:textId="77777777" w:rsidR="008C48D2" w:rsidRPr="000F3901" w:rsidRDefault="008C48D2" w:rsidP="008C48D2">
            <w:pPr>
              <w:ind w:firstLine="284"/>
              <w:rPr>
                <w:rFonts w:asciiTheme="minorHAnsi" w:hAnsiTheme="minorHAnsi" w:cstheme="minorHAnsi"/>
                <w:sz w:val="16"/>
                <w:szCs w:val="16"/>
                <w:lang w:val="el-GR"/>
              </w:rPr>
            </w:pPr>
            <w:r w:rsidRPr="000F3901">
              <w:rPr>
                <w:rFonts w:asciiTheme="minorHAnsi" w:hAnsiTheme="minorHAnsi" w:cstheme="minorHAnsi"/>
                <w:sz w:val="16"/>
                <w:szCs w:val="16"/>
                <w:lang w:val="el-GR"/>
              </w:rPr>
              <w:t xml:space="preserve">Φεσάκης, , Γ., &amp; Κωνσταντοπούλου, Α. (2022). Σχεδιασμός τεχνολογικά ενισχυμένων εκπαιδευτικών σεναρίων για την προσχολική εκπαίδευση , [Προπτυχιακό εγχειρίδιο]. </w:t>
            </w:r>
            <w:proofErr w:type="spellStart"/>
            <w:r w:rsidRPr="000F3901">
              <w:rPr>
                <w:rFonts w:asciiTheme="minorHAnsi" w:hAnsiTheme="minorHAnsi" w:cstheme="minorHAnsi"/>
                <w:sz w:val="16"/>
                <w:szCs w:val="16"/>
                <w:lang w:val="el-GR"/>
              </w:rPr>
              <w:t>Κάλλιπος</w:t>
            </w:r>
            <w:proofErr w:type="spellEnd"/>
            <w:r w:rsidRPr="000F3901">
              <w:rPr>
                <w:rFonts w:asciiTheme="minorHAnsi" w:hAnsiTheme="minorHAnsi" w:cstheme="minorHAnsi"/>
                <w:sz w:val="16"/>
                <w:szCs w:val="16"/>
                <w:lang w:val="el-GR"/>
              </w:rPr>
              <w:t xml:space="preserve">, Ανοικτές Ακαδημαϊκές Εκδόσεις.,  ISBN:978-618-5667-28-3, DOI: </w:t>
            </w:r>
            <w:hyperlink r:id="rId6" w:history="1">
              <w:r w:rsidRPr="000F3901">
                <w:rPr>
                  <w:rStyle w:val="-"/>
                  <w:rFonts w:asciiTheme="minorHAnsi" w:hAnsiTheme="minorHAnsi" w:cstheme="minorHAnsi"/>
                  <w:sz w:val="16"/>
                  <w:szCs w:val="16"/>
                  <w:lang w:val="el-GR"/>
                </w:rPr>
                <w:t>http://dx.doi.org/10.57713/kallipos-31</w:t>
              </w:r>
            </w:hyperlink>
          </w:p>
          <w:p w14:paraId="4602327A" w14:textId="33BCEFFF" w:rsidR="008865E5" w:rsidRDefault="008C48D2" w:rsidP="008C48D2">
            <w:pPr>
              <w:jc w:val="both"/>
              <w:rPr>
                <w:rFonts w:asciiTheme="minorHAnsi" w:hAnsiTheme="minorHAnsi" w:cstheme="minorHAnsi"/>
                <w:sz w:val="16"/>
                <w:szCs w:val="16"/>
                <w:lang w:val="el-GR"/>
              </w:rPr>
            </w:pPr>
            <w:r w:rsidRPr="000F3901">
              <w:rPr>
                <w:rFonts w:asciiTheme="minorHAnsi" w:hAnsiTheme="minorHAnsi" w:cstheme="minorHAnsi"/>
                <w:sz w:val="16"/>
                <w:szCs w:val="16"/>
                <w:lang w:val="el-GR"/>
              </w:rPr>
              <w:t xml:space="preserve">Φεσάκης, Γ. (2019). Εισαγωγή στις Εφαρμογές των Ψηφιακών Τεχνολογιών στην Εκπαίδευση: Από τις Τεχνολογίες Πληροφορίας και Επικοινωνιών (ΤΠΕ) στην Ψηφιακή Ικανότητα και την Υπολογιστική Σκέψη, Εκδόσεις: </w:t>
            </w:r>
            <w:proofErr w:type="spellStart"/>
            <w:r w:rsidRPr="000F3901">
              <w:rPr>
                <w:rFonts w:asciiTheme="minorHAnsi" w:hAnsiTheme="minorHAnsi" w:cstheme="minorHAnsi"/>
                <w:sz w:val="16"/>
                <w:szCs w:val="16"/>
                <w:lang w:val="el-GR"/>
              </w:rPr>
              <w:t>Gutenberg</w:t>
            </w:r>
            <w:proofErr w:type="spellEnd"/>
            <w:r w:rsidRPr="000F3901">
              <w:rPr>
                <w:rFonts w:asciiTheme="minorHAnsi" w:hAnsiTheme="minorHAnsi" w:cstheme="minorHAnsi"/>
                <w:sz w:val="16"/>
                <w:szCs w:val="16"/>
                <w:lang w:val="el-GR"/>
              </w:rPr>
              <w:t xml:space="preserve">, ISBN:978-960-01-1998-5, Κωδικός Βιβλίου στον </w:t>
            </w:r>
            <w:proofErr w:type="spellStart"/>
            <w:r w:rsidRPr="000F3901">
              <w:rPr>
                <w:rFonts w:asciiTheme="minorHAnsi" w:hAnsiTheme="minorHAnsi" w:cstheme="minorHAnsi"/>
                <w:sz w:val="16"/>
                <w:szCs w:val="16"/>
                <w:lang w:val="el-GR"/>
              </w:rPr>
              <w:t>Εύδοξο</w:t>
            </w:r>
            <w:proofErr w:type="spellEnd"/>
            <w:r w:rsidRPr="000F3901">
              <w:rPr>
                <w:rFonts w:asciiTheme="minorHAnsi" w:hAnsiTheme="minorHAnsi" w:cstheme="minorHAnsi"/>
                <w:sz w:val="16"/>
                <w:szCs w:val="16"/>
                <w:lang w:val="el-GR"/>
              </w:rPr>
              <w:t>: 86055158</w:t>
            </w:r>
          </w:p>
          <w:p w14:paraId="49BB5E4F" w14:textId="77777777" w:rsidR="008C48D2" w:rsidRPr="008C48D2" w:rsidRDefault="008C48D2" w:rsidP="008C48D2">
            <w:pPr>
              <w:jc w:val="both"/>
              <w:rPr>
                <w:rFonts w:asciiTheme="majorHAnsi" w:hAnsiTheme="majorHAnsi" w:cs="Arial"/>
                <w:i/>
                <w:sz w:val="16"/>
                <w:szCs w:val="16"/>
                <w:lang w:val="el-GR"/>
              </w:rPr>
            </w:pPr>
          </w:p>
          <w:p w14:paraId="4602327B" w14:textId="77777777" w:rsidR="00CC1EC5" w:rsidRDefault="00CC1EC5" w:rsidP="00E30CBA">
            <w:pPr>
              <w:jc w:val="both"/>
              <w:rPr>
                <w:rFonts w:asciiTheme="majorHAnsi" w:hAnsiTheme="majorHAnsi" w:cs="Arial"/>
                <w:i/>
                <w:sz w:val="16"/>
                <w:szCs w:val="16"/>
                <w:lang w:val="el-GR"/>
              </w:rPr>
            </w:pPr>
            <w:r w:rsidRPr="008C48D2">
              <w:rPr>
                <w:rFonts w:asciiTheme="majorHAnsi" w:hAnsiTheme="majorHAnsi" w:cs="Arial"/>
                <w:i/>
                <w:sz w:val="16"/>
                <w:szCs w:val="16"/>
                <w:lang w:val="el-GR"/>
              </w:rPr>
              <w:t xml:space="preserve">- </w:t>
            </w:r>
            <w:r w:rsidRPr="006403CB">
              <w:rPr>
                <w:rFonts w:asciiTheme="majorHAnsi" w:hAnsiTheme="majorHAnsi" w:cs="Arial"/>
                <w:i/>
                <w:sz w:val="16"/>
                <w:szCs w:val="16"/>
                <w:lang w:val="en-GB"/>
              </w:rPr>
              <w:t>Related</w:t>
            </w:r>
            <w:r w:rsidRPr="008C48D2">
              <w:rPr>
                <w:rFonts w:asciiTheme="majorHAnsi" w:hAnsiTheme="majorHAnsi" w:cs="Arial"/>
                <w:i/>
                <w:sz w:val="16"/>
                <w:szCs w:val="16"/>
                <w:lang w:val="el-GR"/>
              </w:rPr>
              <w:t xml:space="preserve"> </w:t>
            </w:r>
            <w:r w:rsidRPr="006403CB">
              <w:rPr>
                <w:rFonts w:asciiTheme="majorHAnsi" w:hAnsiTheme="majorHAnsi" w:cs="Arial"/>
                <w:i/>
                <w:sz w:val="16"/>
                <w:szCs w:val="16"/>
                <w:lang w:val="en-GB"/>
              </w:rPr>
              <w:t>academic</w:t>
            </w:r>
            <w:r w:rsidRPr="008C48D2">
              <w:rPr>
                <w:rFonts w:asciiTheme="majorHAnsi" w:hAnsiTheme="majorHAnsi" w:cs="Arial"/>
                <w:i/>
                <w:sz w:val="16"/>
                <w:szCs w:val="16"/>
                <w:lang w:val="el-GR"/>
              </w:rPr>
              <w:t xml:space="preserve"> </w:t>
            </w:r>
            <w:r w:rsidRPr="006403CB">
              <w:rPr>
                <w:rFonts w:asciiTheme="majorHAnsi" w:hAnsiTheme="majorHAnsi" w:cs="Arial"/>
                <w:i/>
                <w:sz w:val="16"/>
                <w:szCs w:val="16"/>
                <w:lang w:val="en-GB"/>
              </w:rPr>
              <w:t>journals</w:t>
            </w:r>
            <w:r w:rsidRPr="008C48D2">
              <w:rPr>
                <w:rFonts w:asciiTheme="majorHAnsi" w:hAnsiTheme="majorHAnsi" w:cs="Arial"/>
                <w:i/>
                <w:sz w:val="16"/>
                <w:szCs w:val="16"/>
                <w:lang w:val="el-GR"/>
              </w:rPr>
              <w:t>:</w:t>
            </w:r>
          </w:p>
          <w:p w14:paraId="30DB7AA6"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AACE Journal</w:t>
            </w:r>
          </w:p>
          <w:p w14:paraId="6EFD0014"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ALT-J (Research in Learning Technology)</w:t>
            </w:r>
          </w:p>
          <w:p w14:paraId="7AF8EDEE"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British Journal of Educational Technology</w:t>
            </w:r>
          </w:p>
          <w:p w14:paraId="3ACCCE9A"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Computer Science Education</w:t>
            </w:r>
          </w:p>
          <w:p w14:paraId="5E1ECF9F"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Computers &amp; Education</w:t>
            </w:r>
          </w:p>
          <w:p w14:paraId="5F0FF342"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Computers in Human Behavior</w:t>
            </w:r>
          </w:p>
          <w:p w14:paraId="01F4056B"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 xml:space="preserve">Contemporary Issues in Technology and </w:t>
            </w:r>
            <w:proofErr w:type="gramStart"/>
            <w:r w:rsidRPr="00DF61F1">
              <w:rPr>
                <w:rFonts w:asciiTheme="minorHAnsi" w:hAnsiTheme="minorHAnsi" w:cstheme="minorHAnsi"/>
                <w:sz w:val="16"/>
                <w:szCs w:val="16"/>
              </w:rPr>
              <w:t>teachers</w:t>
            </w:r>
            <w:proofErr w:type="gramEnd"/>
            <w:r w:rsidRPr="00DF61F1">
              <w:rPr>
                <w:rFonts w:asciiTheme="minorHAnsi" w:hAnsiTheme="minorHAnsi" w:cstheme="minorHAnsi"/>
                <w:sz w:val="16"/>
                <w:szCs w:val="16"/>
              </w:rPr>
              <w:t xml:space="preserve"> Education</w:t>
            </w:r>
          </w:p>
          <w:p w14:paraId="09809691"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Education and Information Technologies</w:t>
            </w:r>
          </w:p>
          <w:p w14:paraId="251CF11A"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Educational Media International</w:t>
            </w:r>
          </w:p>
          <w:p w14:paraId="625A344C"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Educational Technology Research and Development</w:t>
            </w:r>
          </w:p>
          <w:p w14:paraId="39952B9A"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Information technology in Childhood Educational Annual</w:t>
            </w:r>
          </w:p>
          <w:p w14:paraId="2AB688F7"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Innovations in Education and teaching International</w:t>
            </w:r>
          </w:p>
          <w:p w14:paraId="37B1334A"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Interactive Learning Environments</w:t>
            </w:r>
          </w:p>
          <w:p w14:paraId="24096345"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International Journal of Science Education</w:t>
            </w:r>
          </w:p>
          <w:p w14:paraId="17320930"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International Journal on e-learning</w:t>
            </w:r>
          </w:p>
          <w:p w14:paraId="759735F9"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Computer Assisted Learning</w:t>
            </w:r>
          </w:p>
          <w:p w14:paraId="44FE92DC"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Computers in Mathematics and Science Teaching</w:t>
            </w:r>
          </w:p>
          <w:p w14:paraId="7554D012"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Educational Computing Research</w:t>
            </w:r>
          </w:p>
          <w:p w14:paraId="51BF2DB0"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Educational Multimedia and Hypermedia</w:t>
            </w:r>
          </w:p>
          <w:p w14:paraId="2E488930"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Educational Technology &amp; Society</w:t>
            </w:r>
          </w:p>
          <w:p w14:paraId="2FC3BE85"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Educational Technology Systems</w:t>
            </w:r>
          </w:p>
          <w:p w14:paraId="0370C41E" w14:textId="77777777" w:rsidR="00DF61F1"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Interactive Learning Research</w:t>
            </w:r>
          </w:p>
          <w:p w14:paraId="4E9F8281" w14:textId="77777777" w:rsid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Journal of Technology and Teacher Education</w:t>
            </w:r>
          </w:p>
          <w:p w14:paraId="4602327E" w14:textId="0346CFD3" w:rsidR="00CC1EC5" w:rsidRPr="00DF61F1" w:rsidRDefault="00DF61F1" w:rsidP="00DF61F1">
            <w:pPr>
              <w:pStyle w:val="a3"/>
              <w:numPr>
                <w:ilvl w:val="0"/>
                <w:numId w:val="6"/>
              </w:numPr>
              <w:jc w:val="both"/>
              <w:rPr>
                <w:rFonts w:asciiTheme="minorHAnsi" w:hAnsiTheme="minorHAnsi" w:cstheme="minorHAnsi"/>
                <w:sz w:val="16"/>
                <w:szCs w:val="16"/>
              </w:rPr>
            </w:pPr>
            <w:r w:rsidRPr="00DF61F1">
              <w:rPr>
                <w:rFonts w:asciiTheme="minorHAnsi" w:hAnsiTheme="minorHAnsi" w:cstheme="minorHAnsi"/>
                <w:sz w:val="16"/>
                <w:szCs w:val="16"/>
              </w:rPr>
              <w:t>Learning, Media &amp; Technology</w:t>
            </w:r>
          </w:p>
        </w:tc>
      </w:tr>
    </w:tbl>
    <w:p w14:paraId="46023280" w14:textId="77777777" w:rsidR="00B22020" w:rsidRPr="008C48D2" w:rsidRDefault="00B22020">
      <w:pPr>
        <w:rPr>
          <w:lang w:val="el-GR"/>
        </w:rPr>
      </w:pPr>
    </w:p>
    <w:sectPr w:rsidR="00B22020" w:rsidRPr="008C48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5EE5"/>
    <w:multiLevelType w:val="hybridMultilevel"/>
    <w:tmpl w:val="82347B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43288E"/>
    <w:multiLevelType w:val="hybridMultilevel"/>
    <w:tmpl w:val="00CCD820"/>
    <w:lvl w:ilvl="0" w:tplc="296A12D4">
      <w:numFmt w:val="bullet"/>
      <w:lvlText w:val="•"/>
      <w:lvlJc w:val="left"/>
      <w:pPr>
        <w:ind w:left="1440" w:hanging="720"/>
      </w:pPr>
      <w:rPr>
        <w:rFonts w:ascii="Calibri Light" w:eastAsia="Times New Roman" w:hAnsi="Calibri Light" w:cs="Calibri Light"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8DE25DF"/>
    <w:multiLevelType w:val="hybridMultilevel"/>
    <w:tmpl w:val="14DA3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9A4BC8"/>
    <w:multiLevelType w:val="hybridMultilevel"/>
    <w:tmpl w:val="F8544F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146818969">
    <w:abstractNumId w:val="2"/>
  </w:num>
  <w:num w:numId="2" w16cid:durableId="1912158553">
    <w:abstractNumId w:val="5"/>
  </w:num>
  <w:num w:numId="3" w16cid:durableId="109053025">
    <w:abstractNumId w:val="4"/>
  </w:num>
  <w:num w:numId="4" w16cid:durableId="80882259">
    <w:abstractNumId w:val="1"/>
  </w:num>
  <w:num w:numId="5" w16cid:durableId="1435634604">
    <w:abstractNumId w:val="0"/>
  </w:num>
  <w:num w:numId="6" w16cid:durableId="193035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C5"/>
    <w:rsid w:val="00013F43"/>
    <w:rsid w:val="000860FB"/>
    <w:rsid w:val="000B535C"/>
    <w:rsid w:val="000F4FF0"/>
    <w:rsid w:val="001308F7"/>
    <w:rsid w:val="00151291"/>
    <w:rsid w:val="0018217E"/>
    <w:rsid w:val="00185129"/>
    <w:rsid w:val="00192AA7"/>
    <w:rsid w:val="00192D0C"/>
    <w:rsid w:val="001A7AFC"/>
    <w:rsid w:val="002336BE"/>
    <w:rsid w:val="00252A01"/>
    <w:rsid w:val="00345068"/>
    <w:rsid w:val="003725DA"/>
    <w:rsid w:val="00384D31"/>
    <w:rsid w:val="003B46EE"/>
    <w:rsid w:val="004230EF"/>
    <w:rsid w:val="00447984"/>
    <w:rsid w:val="004A5541"/>
    <w:rsid w:val="0058566F"/>
    <w:rsid w:val="00596559"/>
    <w:rsid w:val="006218A1"/>
    <w:rsid w:val="006318CB"/>
    <w:rsid w:val="006A5903"/>
    <w:rsid w:val="006C7994"/>
    <w:rsid w:val="006D051C"/>
    <w:rsid w:val="006E30C1"/>
    <w:rsid w:val="00727A2C"/>
    <w:rsid w:val="00771217"/>
    <w:rsid w:val="007B68FC"/>
    <w:rsid w:val="007D0747"/>
    <w:rsid w:val="008865E5"/>
    <w:rsid w:val="008C48D2"/>
    <w:rsid w:val="009B128B"/>
    <w:rsid w:val="00A373C4"/>
    <w:rsid w:val="00A761FD"/>
    <w:rsid w:val="00A771EB"/>
    <w:rsid w:val="00B22020"/>
    <w:rsid w:val="00B639B3"/>
    <w:rsid w:val="00B9794C"/>
    <w:rsid w:val="00BB152D"/>
    <w:rsid w:val="00C00340"/>
    <w:rsid w:val="00C36535"/>
    <w:rsid w:val="00CB7D4B"/>
    <w:rsid w:val="00CC1EC5"/>
    <w:rsid w:val="00D92872"/>
    <w:rsid w:val="00DF61F1"/>
    <w:rsid w:val="00ED4634"/>
    <w:rsid w:val="00ED64F7"/>
    <w:rsid w:val="00F17E4C"/>
    <w:rsid w:val="00FA4DC1"/>
    <w:rsid w:val="00FE41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31A7"/>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character" w:styleId="-">
    <w:name w:val="Hyperlink"/>
    <w:basedOn w:val="a0"/>
    <w:uiPriority w:val="99"/>
    <w:rsid w:val="008C48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7713/kallipos-31" TargetMode="External"/><Relationship Id="rId5" Type="http://schemas.openxmlformats.org/officeDocument/2006/relationships/hyperlink" Target="http://www.engaginginteractions.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2284</Words>
  <Characters>12338</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Rhodes_PMS_Book</cp:lastModifiedBy>
  <cp:revision>45</cp:revision>
  <dcterms:created xsi:type="dcterms:W3CDTF">2017-03-09T12:36:00Z</dcterms:created>
  <dcterms:modified xsi:type="dcterms:W3CDTF">2026-04-28T07:36:00Z</dcterms:modified>
</cp:coreProperties>
</file>